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line="560" w:lineRule="exact"/>
        <w:ind w:firstLine="0" w:firstLineChars="0"/>
        <w:rPr>
          <w:rFonts w:ascii="Times New Roman" w:hAnsi="Times New Roman" w:eastAsia="方正小标宋_GBK" w:cs="Times New Roman"/>
          <w:b/>
          <w:color w:val="000000"/>
          <w:spacing w:val="-12"/>
          <w:w w:val="62"/>
          <w:sz w:val="144"/>
          <w:szCs w:val="144"/>
        </w:rPr>
      </w:pPr>
    </w:p>
    <w:p>
      <w:pPr>
        <w:adjustRightInd/>
        <w:snapToGrid/>
        <w:spacing w:line="240" w:lineRule="auto"/>
        <w:ind w:firstLine="0" w:firstLineChars="0"/>
        <w:rPr>
          <w:rFonts w:ascii="Times New Roman" w:hAnsi="Times New Roman" w:eastAsia="方正小标宋_GBK" w:cs="Times New Roman"/>
          <w:b/>
          <w:color w:val="FFFFFF" w:themeColor="background1"/>
          <w:spacing w:val="-12"/>
          <w:w w:val="62"/>
          <w:sz w:val="144"/>
          <w:szCs w:val="144"/>
        </w:rPr>
      </w:pPr>
      <w:r>
        <w:rPr>
          <w:rFonts w:hint="eastAsia" w:ascii="Times New Roman" w:hAnsi="Times New Roman" w:eastAsia="方正小标宋_GBK" w:cs="Times New Roman"/>
          <w:b/>
          <w:color w:val="FFFFFF" w:themeColor="background1"/>
          <w:spacing w:val="-12"/>
          <w:w w:val="62"/>
          <w:sz w:val="144"/>
          <w:szCs w:val="144"/>
        </w:rPr>
        <w:t>济宁市兖州区人民政府</w:t>
      </w:r>
    </w:p>
    <w:p>
      <w:pPr>
        <w:autoSpaceDE w:val="0"/>
        <w:autoSpaceDN w:val="0"/>
        <w:snapToGrid/>
        <w:spacing w:line="500" w:lineRule="exact"/>
        <w:ind w:firstLine="0" w:firstLineChars="0"/>
        <w:jc w:val="center"/>
        <w:rPr>
          <w:rFonts w:ascii="Times New Roman" w:hAnsi="Times New Roman" w:cs="Times New Roman"/>
          <w:bCs/>
          <w:kern w:val="0"/>
          <w:sz w:val="32"/>
          <w:szCs w:val="32"/>
        </w:rPr>
      </w:pPr>
    </w:p>
    <w:p>
      <w:pPr>
        <w:autoSpaceDE w:val="0"/>
        <w:autoSpaceDN w:val="0"/>
        <w:snapToGrid/>
        <w:spacing w:line="500" w:lineRule="exact"/>
        <w:ind w:firstLine="0" w:firstLineChars="0"/>
        <w:jc w:val="center"/>
        <w:rPr>
          <w:rFonts w:ascii="Times New Roman" w:hAnsi="Times New Roman" w:cs="Times New Roman"/>
          <w:bCs/>
          <w:kern w:val="0"/>
          <w:sz w:val="32"/>
          <w:szCs w:val="32"/>
        </w:rPr>
      </w:pPr>
      <w:r>
        <w:rPr>
          <w:rFonts w:ascii="Times New Roman" w:hAnsi="Times New Roman" w:eastAsia="方正仿宋简体" w:cs="Times New Roman"/>
          <w:bCs/>
          <w:kern w:val="0"/>
          <w:sz w:val="32"/>
          <w:szCs w:val="32"/>
        </w:rPr>
        <w:t>济兖政字〔2023〕</w:t>
      </w:r>
      <w:r>
        <w:rPr>
          <w:rFonts w:hint="eastAsia" w:ascii="Times New Roman" w:hAnsi="Times New Roman" w:eastAsia="方正仿宋简体" w:cs="Times New Roman"/>
          <w:bCs/>
          <w:kern w:val="0"/>
          <w:sz w:val="32"/>
          <w:szCs w:val="32"/>
        </w:rPr>
        <w:t>6</w:t>
      </w:r>
      <w:r>
        <w:rPr>
          <w:rFonts w:ascii="Times New Roman" w:hAnsi="Times New Roman" w:eastAsia="方正仿宋简体" w:cs="Times New Roman"/>
          <w:bCs/>
          <w:kern w:val="0"/>
          <w:sz w:val="32"/>
          <w:szCs w:val="32"/>
        </w:rPr>
        <w:t>号</w:t>
      </w:r>
    </w:p>
    <w:p>
      <w:pPr>
        <w:tabs>
          <w:tab w:val="center" w:pos="4365"/>
        </w:tabs>
        <w:adjustRightInd/>
        <w:snapToGrid/>
        <w:spacing w:line="560" w:lineRule="exact"/>
        <w:ind w:firstLine="0" w:firstLineChars="0"/>
        <w:rPr>
          <w:rFonts w:ascii="Times New Roman" w:hAnsi="Times New Roman" w:cs="Times New Roman"/>
          <w:sz w:val="32"/>
          <w:szCs w:val="32"/>
        </w:rPr>
      </w:pPr>
      <w:r>
        <mc:AlternateContent>
          <mc:Choice Requires="wps">
            <w:drawing>
              <wp:anchor distT="0" distB="0" distL="114300" distR="114300" simplePos="0" relativeHeight="251662336" behindDoc="0" locked="0" layoutInCell="1" allowOverlap="1">
                <wp:simplePos x="0" y="0"/>
                <wp:positionH relativeFrom="column">
                  <wp:posOffset>110490</wp:posOffset>
                </wp:positionH>
                <wp:positionV relativeFrom="paragraph">
                  <wp:posOffset>103505</wp:posOffset>
                </wp:positionV>
                <wp:extent cx="5575300" cy="635"/>
                <wp:effectExtent l="0" t="7620" r="2540" b="14605"/>
                <wp:wrapNone/>
                <wp:docPr id="4" name="Line 3"/>
                <wp:cNvGraphicFramePr/>
                <a:graphic xmlns:a="http://schemas.openxmlformats.org/drawingml/2006/main">
                  <a:graphicData uri="http://schemas.microsoft.com/office/word/2010/wordprocessingShape">
                    <wps:wsp>
                      <wps:cNvSpPr/>
                      <wps:spPr>
                        <a:xfrm>
                          <a:off x="0" y="0"/>
                          <a:ext cx="5575300" cy="635"/>
                        </a:xfrm>
                        <a:prstGeom prst="line">
                          <a:avLst/>
                        </a:prstGeom>
                        <a:ln w="15875" cap="flat" cmpd="sng">
                          <a:solidFill>
                            <a:srgbClr val="FFFFFF"/>
                          </a:solidFill>
                          <a:prstDash val="solid"/>
                          <a:headEnd type="none" w="med" len="med"/>
                          <a:tailEnd type="none" w="med" len="med"/>
                        </a:ln>
                      </wps:spPr>
                      <wps:bodyPr upright="1"/>
                    </wps:wsp>
                  </a:graphicData>
                </a:graphic>
              </wp:anchor>
            </w:drawing>
          </mc:Choice>
          <mc:Fallback>
            <w:pict>
              <v:line id="Line 3" o:spid="_x0000_s1026" o:spt="20" style="position:absolute;left:0pt;margin-left:8.7pt;margin-top:8.15pt;height:0.05pt;width:439pt;z-index:25166233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">
                <v:fill on="f" focussize="0,0"/>
                <v:stroke weight="1.25pt" color="#FFFFFF" joinstyle="round"/>
                <v:imagedata o:title=""/>
                <o:lock v:ext="edit" aspectratio="f"/>
              </v:line>
            </w:pict>
          </mc:Fallback>
        </mc:AlternateContent>
      </w:r>
      <w:r>
        <w:rPr>
          <w:rFonts w:ascii="Times New Roman" w:hAnsi="Times New Roman" w:cs="Times New Roman"/>
          <w:sz w:val="32"/>
          <w:szCs w:val="32"/>
        </w:rPr>
        <w:tab/>
      </w:r>
    </w:p>
    <w:p>
      <w:pPr>
        <w:adjustRightInd/>
        <w:snapToGrid/>
        <w:spacing w:line="560" w:lineRule="exact"/>
        <w:ind w:firstLine="0" w:firstLineChars="0"/>
        <w:rPr>
          <w:rFonts w:ascii="Times New Roman" w:hAnsi="Times New Roman" w:cs="Times New Roman"/>
          <w:sz w:val="32"/>
          <w:szCs w:val="32"/>
        </w:rPr>
      </w:pPr>
    </w:p>
    <w:p>
      <w:pPr>
        <w:spacing w:line="560" w:lineRule="exact"/>
        <w:ind w:firstLine="0" w:firstLineChars="0"/>
        <w:jc w:val="center"/>
        <w:rPr>
          <w:rFonts w:ascii="Times New Roman" w:hAnsi="Times New Roman" w:eastAsia="方正小标宋简体" w:cs="Times New Roman"/>
          <w:color w:val="1A1A1A"/>
          <w:sz w:val="44"/>
          <w:szCs w:val="44"/>
        </w:rPr>
      </w:pPr>
      <w:r>
        <w:rPr>
          <w:rFonts w:ascii="Times New Roman" w:hAnsi="Times New Roman" w:eastAsia="方正小标宋简体" w:cs="Times New Roman"/>
          <w:color w:val="1A1A1A"/>
          <w:sz w:val="44"/>
          <w:szCs w:val="44"/>
        </w:rPr>
        <w:t>济宁市兖州区人民政府</w:t>
      </w:r>
    </w:p>
    <w:p>
      <w:pPr>
        <w:spacing w:line="560" w:lineRule="exact"/>
        <w:ind w:firstLine="0" w:firstLineChars="0"/>
        <w:jc w:val="center"/>
        <w:rPr>
          <w:rFonts w:ascii="Times New Roman" w:hAnsi="Times New Roman" w:eastAsia="方正小标宋简体" w:cs="Times New Roman"/>
          <w:color w:val="1A1A1A"/>
          <w:sz w:val="44"/>
          <w:szCs w:val="44"/>
        </w:rPr>
      </w:pPr>
      <w:r>
        <w:rPr>
          <w:rFonts w:ascii="Times New Roman" w:hAnsi="Times New Roman" w:eastAsia="方正小标宋简体" w:cs="Times New Roman"/>
          <w:color w:val="1A1A1A"/>
          <w:sz w:val="44"/>
          <w:szCs w:val="44"/>
        </w:rPr>
        <w:t>关于印发《济宁市兖州区“十四五”水利发展</w:t>
      </w:r>
    </w:p>
    <w:p>
      <w:pPr>
        <w:spacing w:line="560" w:lineRule="exact"/>
        <w:ind w:firstLine="0" w:firstLineChars="0"/>
        <w:jc w:val="center"/>
        <w:rPr>
          <w:rFonts w:ascii="Times New Roman" w:hAnsi="Times New Roman" w:eastAsia="方正小标宋简体" w:cs="Times New Roman"/>
          <w:color w:val="1A1A1A"/>
          <w:sz w:val="44"/>
          <w:szCs w:val="44"/>
        </w:rPr>
      </w:pPr>
      <w:r>
        <w:rPr>
          <w:rFonts w:ascii="Times New Roman" w:hAnsi="Times New Roman" w:eastAsia="方正小标宋简体" w:cs="Times New Roman"/>
          <w:color w:val="1A1A1A"/>
          <w:sz w:val="44"/>
          <w:szCs w:val="44"/>
        </w:rPr>
        <w:t>规划》的通知</w:t>
      </w:r>
    </w:p>
    <w:p>
      <w:pPr>
        <w:pStyle w:val="2"/>
        <w:spacing w:after="0" w:line="560" w:lineRule="exact"/>
        <w:ind w:left="600" w:firstLine="0" w:firstLineChars="0"/>
        <w:rPr>
          <w:rFonts w:ascii="Times New Roman" w:hAnsi="Times New Roman" w:cs="Times New Roman"/>
        </w:rPr>
      </w:pPr>
      <w:bookmarkStart w:id="85" w:name="_GoBack"/>
      <w:bookmarkEnd w:id="85"/>
    </w:p>
    <w:p>
      <w:pPr>
        <w:spacing w:line="560" w:lineRule="exact"/>
        <w:ind w:firstLine="0" w:firstLineChars="0"/>
        <w:rPr>
          <w:rFonts w:ascii="Times New Roman" w:hAnsi="Times New Roman" w:eastAsia="方正仿宋简体" w:cs="Times New Roman"/>
          <w:color w:val="1A1A1A"/>
          <w:sz w:val="32"/>
          <w:szCs w:val="32"/>
        </w:rPr>
      </w:pPr>
      <w:r>
        <w:rPr>
          <w:rFonts w:ascii="Times New Roman" w:hAnsi="Times New Roman" w:eastAsia="方正仿宋简体" w:cs="Times New Roman"/>
          <w:color w:val="1A1A1A"/>
          <w:sz w:val="32"/>
          <w:szCs w:val="32"/>
        </w:rPr>
        <w:t>各镇人民政府，各街道办事处，兖州工业园区管委会，区政府有关部门、单位：</w:t>
      </w:r>
    </w:p>
    <w:p>
      <w:pPr>
        <w:spacing w:line="560" w:lineRule="exact"/>
        <w:ind w:firstLine="640"/>
        <w:rPr>
          <w:rFonts w:ascii="Times New Roman" w:hAnsi="Times New Roman" w:eastAsia="方正仿宋简体" w:cs="Times New Roman"/>
          <w:color w:val="1A1A1A"/>
          <w:sz w:val="32"/>
          <w:szCs w:val="32"/>
        </w:rPr>
      </w:pPr>
      <w:r>
        <w:rPr>
          <w:rFonts w:hint="eastAsia" w:ascii="Times New Roman" w:hAnsi="Times New Roman" w:eastAsia="方正仿宋简体" w:cs="Times New Roman"/>
          <w:color w:val="1A1A1A"/>
          <w:sz w:val="32"/>
          <w:szCs w:val="32"/>
        </w:rPr>
        <w:t>现将</w:t>
      </w:r>
      <w:r>
        <w:rPr>
          <w:rFonts w:ascii="Times New Roman" w:hAnsi="Times New Roman" w:eastAsia="方正仿宋简体" w:cs="Times New Roman"/>
          <w:color w:val="1A1A1A"/>
          <w:sz w:val="32"/>
          <w:szCs w:val="32"/>
        </w:rPr>
        <w:t>《济宁市兖州区“十四五”水利发展规划》印发给你们，请认真贯彻执行。</w:t>
      </w:r>
    </w:p>
    <w:p>
      <w:pPr>
        <w:pStyle w:val="2"/>
        <w:ind w:left="600" w:firstLine="600"/>
        <w:rPr>
          <w:rFonts w:ascii="Times New Roman" w:hAnsi="Times New Roman" w:cs="Times New Roman"/>
        </w:rPr>
      </w:pPr>
    </w:p>
    <w:p>
      <w:pPr>
        <w:spacing w:line="560" w:lineRule="exact"/>
        <w:ind w:right="900" w:rightChars="300" w:firstLine="640"/>
        <w:jc w:val="right"/>
        <w:rPr>
          <w:rFonts w:ascii="Times New Roman" w:hAnsi="Times New Roman" w:eastAsia="方正仿宋简体" w:cs="Times New Roman"/>
          <w:color w:val="1A1A1A"/>
          <w:sz w:val="32"/>
          <w:szCs w:val="32"/>
        </w:rPr>
      </w:pPr>
      <w:r>
        <w:rPr>
          <w:rFonts w:ascii="Times New Roman" w:hAnsi="Times New Roman" w:eastAsia="方正仿宋简体" w:cs="Times New Roman"/>
          <w:color w:val="1A1A1A"/>
          <w:sz w:val="32"/>
          <w:szCs w:val="32"/>
        </w:rPr>
        <w:t>济宁市兖州区人民政府</w:t>
      </w:r>
    </w:p>
    <w:p>
      <w:pPr>
        <w:spacing w:line="560" w:lineRule="exact"/>
        <w:ind w:right="600" w:rightChars="200" w:firstLine="640"/>
        <w:rPr>
          <w:rFonts w:ascii="Times New Roman" w:hAnsi="Times New Roman" w:eastAsia="方正仿宋简体" w:cs="Times New Roman"/>
          <w:color w:val="1A1A1A"/>
          <w:sz w:val="32"/>
          <w:szCs w:val="32"/>
        </w:rPr>
      </w:pPr>
      <w:r>
        <w:rPr>
          <w:rFonts w:ascii="Times New Roman" w:hAnsi="Times New Roman" w:eastAsia="方正仿宋简体" w:cs="Times New Roman"/>
          <w:color w:val="1A1A1A"/>
          <w:sz w:val="32"/>
          <w:szCs w:val="32"/>
        </w:rPr>
        <w:t xml:space="preserve">                            </w:t>
      </w:r>
      <w:r>
        <w:rPr>
          <w:rFonts w:hint="eastAsia" w:ascii="Times New Roman" w:hAnsi="Times New Roman" w:eastAsia="方正仿宋简体" w:cs="Times New Roman"/>
          <w:color w:val="1A1A1A"/>
          <w:sz w:val="32"/>
          <w:szCs w:val="32"/>
        </w:rPr>
        <w:t>2023</w:t>
      </w:r>
      <w:r>
        <w:rPr>
          <w:rFonts w:ascii="Times New Roman" w:hAnsi="Times New Roman" w:eastAsia="方正仿宋简体" w:cs="Times New Roman"/>
          <w:color w:val="1A1A1A"/>
          <w:sz w:val="32"/>
          <w:szCs w:val="32"/>
        </w:rPr>
        <w:t>年</w:t>
      </w:r>
      <w:r>
        <w:rPr>
          <w:rFonts w:hint="eastAsia" w:ascii="Times New Roman" w:hAnsi="Times New Roman" w:eastAsia="方正仿宋简体" w:cs="Times New Roman"/>
          <w:color w:val="1A1A1A"/>
          <w:sz w:val="32"/>
          <w:szCs w:val="32"/>
        </w:rPr>
        <w:t>4</w:t>
      </w:r>
      <w:r>
        <w:rPr>
          <w:rFonts w:ascii="Times New Roman" w:hAnsi="Times New Roman" w:eastAsia="方正仿宋简体" w:cs="Times New Roman"/>
          <w:color w:val="1A1A1A"/>
          <w:sz w:val="32"/>
          <w:szCs w:val="32"/>
        </w:rPr>
        <w:t>月</w:t>
      </w:r>
      <w:r>
        <w:rPr>
          <w:rFonts w:hint="eastAsia" w:ascii="Times New Roman" w:hAnsi="Times New Roman" w:eastAsia="方正仿宋简体" w:cs="Times New Roman"/>
          <w:color w:val="1A1A1A"/>
          <w:sz w:val="32"/>
          <w:szCs w:val="32"/>
        </w:rPr>
        <w:t>26</w:t>
      </w:r>
      <w:r>
        <w:rPr>
          <w:rFonts w:ascii="Times New Roman" w:hAnsi="Times New Roman" w:eastAsia="方正仿宋简体" w:cs="Times New Roman"/>
          <w:color w:val="1A1A1A"/>
          <w:sz w:val="32"/>
          <w:szCs w:val="32"/>
        </w:rPr>
        <w:t>日</w:t>
      </w:r>
    </w:p>
    <w:p>
      <w:pPr>
        <w:pStyle w:val="12"/>
        <w:spacing w:line="560" w:lineRule="exact"/>
        <w:ind w:firstLine="640"/>
        <w:rPr>
          <w:rFonts w:ascii="Times New Roman" w:hAnsi="Times New Roman" w:eastAsia="方正仿宋简体" w:cs="Times New Roman"/>
          <w:color w:val="000000"/>
          <w:sz w:val="32"/>
        </w:rPr>
      </w:pPr>
    </w:p>
    <w:p>
      <w:pPr>
        <w:pStyle w:val="12"/>
        <w:spacing w:line="560" w:lineRule="exact"/>
        <w:ind w:firstLine="640"/>
        <w:rPr>
          <w:rFonts w:ascii="Times New Roman" w:hAnsi="Times New Roman" w:eastAsia="方正仿宋简体" w:cs="Times New Roman"/>
          <w:color w:val="000000"/>
          <w:sz w:val="32"/>
        </w:rPr>
      </w:pPr>
      <w:r>
        <w:rPr>
          <w:rFonts w:ascii="Times New Roman" w:hAnsi="Times New Roman" w:eastAsia="方正仿宋简体" w:cs="Times New Roman"/>
          <w:color w:val="000000"/>
          <w:sz w:val="32"/>
        </w:rPr>
        <w:t>（此件公开发布）</w:t>
      </w:r>
    </w:p>
    <w:p>
      <w:pPr>
        <w:spacing w:line="560" w:lineRule="exact"/>
        <w:ind w:firstLine="0" w:firstLineChars="0"/>
        <w:jc w:val="center"/>
        <w:rPr>
          <w:rFonts w:ascii="Times New Roman" w:hAnsi="Times New Roman" w:eastAsia="方正小标宋简体" w:cs="Times New Roman"/>
          <w:bCs/>
          <w:sz w:val="50"/>
          <w:szCs w:val="50"/>
        </w:rPr>
      </w:pPr>
    </w:p>
    <w:p>
      <w:pPr>
        <w:spacing w:line="586" w:lineRule="exact"/>
        <w:ind w:firstLine="0" w:firstLineChars="0"/>
        <w:jc w:val="center"/>
        <w:rPr>
          <w:rFonts w:ascii="Times New Roman" w:hAnsi="Times New Roman" w:eastAsia="方正小标宋简体" w:cs="Times New Roman"/>
          <w:bCs/>
          <w:sz w:val="50"/>
          <w:szCs w:val="50"/>
        </w:rPr>
      </w:pPr>
      <w:r>
        <w:rPr>
          <w:rFonts w:ascii="Times New Roman" w:hAnsi="Times New Roman" w:eastAsia="方正小标宋简体" w:cs="Times New Roman"/>
          <w:bCs/>
          <w:sz w:val="50"/>
          <w:szCs w:val="50"/>
        </w:rPr>
        <w:t>济宁市兖州区“十四五”水利发展规划</w:t>
      </w:r>
    </w:p>
    <w:p>
      <w:pPr>
        <w:pStyle w:val="6"/>
        <w:keepNext w:val="0"/>
        <w:keepLines w:val="0"/>
        <w:overflowPunct w:val="0"/>
        <w:spacing w:before="0" w:after="0" w:line="560" w:lineRule="exact"/>
        <w:ind w:firstLine="640"/>
        <w:rPr>
          <w:rFonts w:ascii="Times New Roman" w:hAnsi="Times New Roman" w:eastAsia="方正黑体简体" w:cs="Times New Roman"/>
          <w:szCs w:val="32"/>
        </w:rPr>
      </w:pPr>
      <w:bookmarkStart w:id="0" w:name="_Toc72324209"/>
      <w:bookmarkStart w:id="1" w:name="_Toc112233669"/>
    </w:p>
    <w:p>
      <w:pPr>
        <w:pStyle w:val="6"/>
        <w:keepNext w:val="0"/>
        <w:keepLines w:val="0"/>
        <w:overflowPunct w:val="0"/>
        <w:spacing w:before="0" w:after="0" w:line="586" w:lineRule="exact"/>
        <w:ind w:firstLine="640"/>
        <w:rPr>
          <w:rFonts w:ascii="Times New Roman" w:hAnsi="Times New Roman" w:eastAsia="方正黑体简体" w:cs="Times New Roman"/>
          <w:szCs w:val="32"/>
        </w:rPr>
      </w:pPr>
      <w:r>
        <w:rPr>
          <w:rFonts w:ascii="Times New Roman" w:hAnsi="Times New Roman" w:eastAsia="方正黑体简体" w:cs="Times New Roman"/>
          <w:szCs w:val="32"/>
        </w:rPr>
        <w:t>一、</w:t>
      </w:r>
      <w:bookmarkEnd w:id="0"/>
      <w:r>
        <w:rPr>
          <w:rFonts w:ascii="Times New Roman" w:hAnsi="Times New Roman" w:eastAsia="方正黑体简体" w:cs="Times New Roman"/>
          <w:szCs w:val="32"/>
        </w:rPr>
        <w:t>现状与形势</w:t>
      </w:r>
      <w:bookmarkEnd w:id="1"/>
      <w:r>
        <w:rPr>
          <w:rFonts w:ascii="Times New Roman" w:hAnsi="Times New Roman" w:eastAsia="方正黑体简体" w:cs="Times New Roman"/>
          <w:szCs w:val="32"/>
        </w:rPr>
        <w:fldChar w:fldCharType="begin"/>
      </w:r>
      <w:r>
        <w:rPr>
          <w:rFonts w:ascii="Times New Roman" w:hAnsi="Times New Roman" w:eastAsia="方正黑体简体" w:cs="Times New Roman"/>
          <w:szCs w:val="32"/>
        </w:rPr>
        <w:instrText xml:space="preserve"> TOC \o "1-2" \p " " \h \z \u </w:instrText>
      </w:r>
      <w:r>
        <w:rPr>
          <w:rFonts w:ascii="Times New Roman" w:hAnsi="Times New Roman" w:eastAsia="方正黑体简体" w:cs="Times New Roman"/>
          <w:szCs w:val="32"/>
        </w:rPr>
        <w:fldChar w:fldCharType="separate"/>
      </w:r>
    </w:p>
    <w:p>
      <w:pPr>
        <w:pStyle w:val="7"/>
        <w:overflowPunct w:val="0"/>
        <w:spacing w:beforeAutospacing="0" w:afterAutospacing="0" w:line="586" w:lineRule="exact"/>
        <w:ind w:firstLine="640"/>
        <w:jc w:val="both"/>
        <w:rPr>
          <w:rFonts w:ascii="Times New Roman" w:hAnsi="Times New Roman" w:eastAsia="方正楷体简体"/>
          <w:b w:val="0"/>
          <w:sz w:val="32"/>
          <w:szCs w:val="32"/>
        </w:rPr>
      </w:pPr>
      <w:r>
        <w:rPr>
          <w:rFonts w:ascii="Times New Roman" w:hAnsi="Times New Roman" w:eastAsia="方正黑体简体"/>
          <w:b w:val="0"/>
          <w:sz w:val="32"/>
          <w:szCs w:val="32"/>
        </w:rPr>
        <w:fldChar w:fldCharType="end"/>
      </w:r>
      <w:bookmarkStart w:id="2" w:name="_Toc112233670"/>
      <w:bookmarkStart w:id="3" w:name="_Toc72324210"/>
      <w:r>
        <w:rPr>
          <w:rFonts w:ascii="Times New Roman" w:hAnsi="Times New Roman" w:eastAsia="方正楷体简体"/>
          <w:b w:val="0"/>
          <w:sz w:val="32"/>
          <w:szCs w:val="32"/>
        </w:rPr>
        <w:t>（一）基本情况</w:t>
      </w:r>
      <w:bookmarkEnd w:id="2"/>
      <w:bookmarkEnd w:id="3"/>
    </w:p>
    <w:p>
      <w:pPr>
        <w:pStyle w:val="16"/>
        <w:overflowPunct w:val="0"/>
        <w:adjustRightInd w:val="0"/>
        <w:snapToGrid w:val="0"/>
        <w:spacing w:line="586" w:lineRule="exact"/>
        <w:ind w:firstLine="640"/>
        <w:rPr>
          <w:rFonts w:ascii="Times New Roman" w:eastAsia="方正仿宋简体"/>
          <w:color w:val="auto"/>
          <w:sz w:val="32"/>
          <w:szCs w:val="32"/>
        </w:rPr>
      </w:pPr>
      <w:r>
        <w:rPr>
          <w:rFonts w:ascii="Times New Roman" w:eastAsia="方正仿宋简体"/>
          <w:color w:val="auto"/>
          <w:sz w:val="32"/>
          <w:szCs w:val="32"/>
        </w:rPr>
        <w:t>1、自然地理</w:t>
      </w:r>
    </w:p>
    <w:p>
      <w:pPr>
        <w:pStyle w:val="16"/>
        <w:spacing w:line="586" w:lineRule="exact"/>
        <w:ind w:firstLine="640"/>
        <w:rPr>
          <w:rFonts w:ascii="Times New Roman" w:eastAsia="方正仿宋简体"/>
          <w:color w:val="auto"/>
          <w:sz w:val="32"/>
          <w:szCs w:val="32"/>
        </w:rPr>
      </w:pPr>
      <w:r>
        <w:rPr>
          <w:rFonts w:ascii="Times New Roman" w:eastAsia="方正仿宋简体"/>
          <w:color w:val="auto"/>
          <w:sz w:val="32"/>
          <w:szCs w:val="32"/>
        </w:rPr>
        <w:t>济宁市兖州区地处山东省西南部，在东经116°35′21″～116°53′36″，北纬35°23′31″～35°43′17″之间，北邻宁阳，西靠汶上，南、西南分别与邹城、任城接壤，东临泗河与孔子故里曲阜毗邻，总辖区面积534.82km</w:t>
      </w:r>
      <w:r>
        <w:rPr>
          <w:rFonts w:ascii="Times New Roman" w:eastAsia="方正仿宋简体"/>
          <w:color w:val="auto"/>
          <w:sz w:val="32"/>
          <w:szCs w:val="32"/>
          <w:vertAlign w:val="superscript"/>
        </w:rPr>
        <w:t>2</w:t>
      </w:r>
      <w:r>
        <w:rPr>
          <w:rFonts w:ascii="Times New Roman" w:eastAsia="方正仿宋简体"/>
          <w:color w:val="auto"/>
          <w:sz w:val="32"/>
          <w:szCs w:val="32"/>
        </w:rPr>
        <w:t>。兖州区地处泰沂山前倾斜平原，西部由于汶水南泛，洪水冲积地貌明显；东部泗水向西南渲泄，地形由东北向西南倾斜；中部</w:t>
      </w:r>
      <w:r>
        <w:rPr>
          <w:rFonts w:ascii="Times New Roman"/>
          <w:color w:val="auto"/>
          <w:sz w:val="32"/>
          <w:szCs w:val="32"/>
        </w:rPr>
        <w:t>洸</w:t>
      </w:r>
      <w:r>
        <w:rPr>
          <w:rFonts w:ascii="Times New Roman" w:eastAsia="方正仿宋简体"/>
          <w:color w:val="auto"/>
          <w:sz w:val="32"/>
          <w:szCs w:val="32"/>
        </w:rPr>
        <w:t>府河、杨家河二水并行，地势低洼。兖州区属暖温带季风气候，多年平均气温为13.7℃，多年平均降水量696.4mm，6—9月占年降水量的70%以上。</w:t>
      </w:r>
    </w:p>
    <w:p>
      <w:pPr>
        <w:pStyle w:val="16"/>
        <w:overflowPunct w:val="0"/>
        <w:adjustRightInd w:val="0"/>
        <w:snapToGrid w:val="0"/>
        <w:spacing w:line="586" w:lineRule="exact"/>
        <w:ind w:firstLine="640"/>
        <w:rPr>
          <w:rFonts w:ascii="Times New Roman" w:eastAsia="方正仿宋简体"/>
          <w:color w:val="auto"/>
          <w:sz w:val="32"/>
          <w:szCs w:val="32"/>
        </w:rPr>
      </w:pPr>
      <w:r>
        <w:rPr>
          <w:rFonts w:ascii="Times New Roman" w:eastAsia="方正仿宋简体"/>
          <w:color w:val="auto"/>
          <w:sz w:val="32"/>
          <w:szCs w:val="32"/>
        </w:rPr>
        <w:t>2、社会经济</w:t>
      </w:r>
    </w:p>
    <w:p>
      <w:pPr>
        <w:pStyle w:val="16"/>
        <w:overflowPunct w:val="0"/>
        <w:adjustRightInd w:val="0"/>
        <w:snapToGrid w:val="0"/>
        <w:spacing w:line="586" w:lineRule="exact"/>
        <w:ind w:firstLine="640"/>
        <w:rPr>
          <w:rFonts w:ascii="Times New Roman" w:eastAsia="方正仿宋简体"/>
          <w:color w:val="auto"/>
          <w:sz w:val="32"/>
          <w:szCs w:val="32"/>
        </w:rPr>
      </w:pPr>
      <w:r>
        <w:rPr>
          <w:rFonts w:ascii="Times New Roman" w:eastAsia="方正仿宋简体"/>
          <w:color w:val="auto"/>
          <w:sz w:val="32"/>
          <w:szCs w:val="32"/>
        </w:rPr>
        <w:t>兖州历史文化悠久，九州文化、大禹文化、佛教文化等交相辉映；交通区位优越，是全国重要的交通枢纽，京沪、兖石铁路在这里交汇，日兰高速、327国道等数十条公路干线在境内交织成网；资源优势明显，已探明煤炭储量</w:t>
      </w:r>
      <w:r>
        <w:rPr>
          <w:rFonts w:ascii="Times New Roman" w:eastAsia="方正仿宋简体"/>
          <w:color w:val="auto"/>
          <w:sz w:val="32"/>
          <w:szCs w:val="32"/>
          <w:lang w:val="en-US"/>
        </w:rPr>
        <w:t>12</w:t>
      </w:r>
      <w:r>
        <w:rPr>
          <w:rFonts w:ascii="Times New Roman" w:eastAsia="方正仿宋简体"/>
          <w:color w:val="auto"/>
          <w:sz w:val="32"/>
          <w:szCs w:val="32"/>
        </w:rPr>
        <w:t>亿吨，铁矿已探明储量10亿吨。现辖6个镇4个街道办事处，34个居民委员会，406个行政村。根据《济宁统计年鉴（2020年）》，2020年末兖州区总人口54.07万人，其中城镇人口42.62万人，农村人口11.44万人，常住人口城镇化率为78.83%。2020年全区GDP达到525.72亿元。</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3、水利概况</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兖州区地处泰沂山前倾斜平原，属淮河流域，沂沭泗水系，境内没有水库和湖泊，主要是以南四湖为集水中心的泗河、</w:t>
      </w:r>
      <w:r>
        <w:rPr>
          <w:rFonts w:ascii="Times New Roman"/>
          <w:color w:val="auto"/>
          <w:sz w:val="32"/>
          <w:szCs w:val="32"/>
        </w:rPr>
        <w:t>洸</w:t>
      </w:r>
      <w:r>
        <w:rPr>
          <w:rFonts w:ascii="Times New Roman" w:eastAsia="方正仿宋简体"/>
          <w:color w:val="auto"/>
          <w:sz w:val="32"/>
          <w:szCs w:val="32"/>
        </w:rPr>
        <w:t>府河、白马河</w:t>
      </w:r>
      <w:r>
        <w:rPr>
          <w:rFonts w:ascii="Times New Roman" w:eastAsia="方正仿宋简体"/>
          <w:color w:val="auto"/>
          <w:sz w:val="32"/>
          <w:szCs w:val="32"/>
          <w:lang w:val="en-US"/>
        </w:rPr>
        <w:t>3</w:t>
      </w:r>
      <w:r>
        <w:rPr>
          <w:rFonts w:ascii="Times New Roman" w:eastAsia="方正仿宋简体"/>
          <w:color w:val="auto"/>
          <w:sz w:val="32"/>
          <w:szCs w:val="32"/>
        </w:rPr>
        <w:t>条主干河道和18条主要支流和沟渠，总长223.74km。兖州区有闸坝</w:t>
      </w:r>
      <w:r>
        <w:rPr>
          <w:rFonts w:ascii="Times New Roman" w:eastAsia="方正仿宋简体"/>
          <w:color w:val="auto"/>
          <w:sz w:val="32"/>
          <w:szCs w:val="32"/>
          <w:lang w:val="en-US"/>
        </w:rPr>
        <w:t>28</w:t>
      </w:r>
      <w:r>
        <w:rPr>
          <w:rFonts w:ascii="Times New Roman" w:eastAsia="方正仿宋简体"/>
          <w:color w:val="auto"/>
          <w:sz w:val="32"/>
          <w:szCs w:val="32"/>
        </w:rPr>
        <w:t>座，其中大型水闸1座，中型水闸10座，小型闸</w:t>
      </w:r>
      <w:r>
        <w:rPr>
          <w:rFonts w:ascii="Times New Roman" w:eastAsia="方正仿宋简体"/>
          <w:color w:val="auto"/>
          <w:sz w:val="32"/>
          <w:szCs w:val="32"/>
          <w:lang w:val="en-US"/>
        </w:rPr>
        <w:t>13</w:t>
      </w:r>
      <w:r>
        <w:rPr>
          <w:rFonts w:ascii="Times New Roman" w:eastAsia="方正仿宋简体"/>
          <w:color w:val="auto"/>
          <w:sz w:val="32"/>
          <w:szCs w:val="32"/>
        </w:rPr>
        <w:t>座，橡胶坝4座，设计蓄水</w:t>
      </w:r>
      <w:r>
        <w:rPr>
          <w:rFonts w:ascii="Times New Roman" w:eastAsia="方正仿宋简体"/>
          <w:color w:val="auto"/>
          <w:spacing w:val="-2"/>
          <w:sz w:val="32"/>
          <w:szCs w:val="32"/>
        </w:rPr>
        <w:t>量1</w:t>
      </w:r>
      <w:r>
        <w:rPr>
          <w:rFonts w:ascii="Times New Roman" w:eastAsia="方正仿宋简体"/>
          <w:color w:val="auto"/>
          <w:spacing w:val="-2"/>
          <w:sz w:val="32"/>
          <w:szCs w:val="32"/>
          <w:lang w:val="en-US"/>
        </w:rPr>
        <w:t>837.9</w:t>
      </w:r>
      <w:r>
        <w:rPr>
          <w:rFonts w:ascii="Times New Roman" w:eastAsia="方正仿宋简体"/>
          <w:color w:val="auto"/>
          <w:spacing w:val="-2"/>
          <w:sz w:val="32"/>
          <w:szCs w:val="32"/>
        </w:rPr>
        <w:t>万m</w:t>
      </w:r>
      <w:r>
        <w:rPr>
          <w:rFonts w:ascii="Times New Roman" w:eastAsia="方正仿宋简体"/>
          <w:color w:val="auto"/>
          <w:spacing w:val="-2"/>
          <w:sz w:val="32"/>
          <w:szCs w:val="32"/>
          <w:vertAlign w:val="superscript"/>
        </w:rPr>
        <w:t>3</w:t>
      </w:r>
      <w:r>
        <w:rPr>
          <w:rFonts w:ascii="Times New Roman" w:eastAsia="方正仿宋简体"/>
          <w:color w:val="auto"/>
          <w:spacing w:val="-2"/>
          <w:sz w:val="32"/>
          <w:szCs w:val="32"/>
        </w:rPr>
        <w:t>。</w:t>
      </w:r>
      <w:r>
        <w:rPr>
          <w:rFonts w:ascii="Times New Roman" w:eastAsia="方正仿宋简体"/>
          <w:color w:val="auto"/>
          <w:spacing w:val="-2"/>
          <w:sz w:val="32"/>
          <w:szCs w:val="32"/>
          <w:lang w:val="en-US"/>
        </w:rPr>
        <w:t>依据</w:t>
      </w:r>
      <w:r>
        <w:rPr>
          <w:rFonts w:ascii="Times New Roman" w:eastAsia="方正仿宋简体"/>
          <w:color w:val="auto"/>
          <w:spacing w:val="-2"/>
          <w:sz w:val="32"/>
          <w:szCs w:val="32"/>
        </w:rPr>
        <w:t>《第三次济宁市水资源调查评价报告》（2019年8月），兖州区多年平均水资源总量17957万m</w:t>
      </w:r>
      <w:r>
        <w:rPr>
          <w:rFonts w:ascii="Times New Roman" w:eastAsia="方正仿宋简体"/>
          <w:color w:val="auto"/>
          <w:spacing w:val="-2"/>
          <w:sz w:val="32"/>
          <w:szCs w:val="32"/>
          <w:vertAlign w:val="superscript"/>
        </w:rPr>
        <w:t>3</w:t>
      </w:r>
      <w:r>
        <w:rPr>
          <w:rFonts w:ascii="Times New Roman" w:eastAsia="方正仿宋简体"/>
          <w:color w:val="auto"/>
          <w:spacing w:val="-2"/>
          <w:sz w:val="32"/>
          <w:szCs w:val="32"/>
        </w:rPr>
        <w:t>，其中地表水资源量为6205.4万m</w:t>
      </w:r>
      <w:r>
        <w:rPr>
          <w:rFonts w:ascii="Times New Roman" w:eastAsia="方正仿宋简体"/>
          <w:color w:val="auto"/>
          <w:spacing w:val="-2"/>
          <w:sz w:val="32"/>
          <w:szCs w:val="32"/>
          <w:vertAlign w:val="superscript"/>
        </w:rPr>
        <w:t>3</w:t>
      </w:r>
      <w:r>
        <w:rPr>
          <w:rFonts w:ascii="Times New Roman" w:eastAsia="方正仿宋简体"/>
          <w:color w:val="auto"/>
          <w:spacing w:val="-2"/>
          <w:sz w:val="32"/>
          <w:szCs w:val="32"/>
        </w:rPr>
        <w:t>，地下水资源量为12852.4万m</w:t>
      </w:r>
      <w:r>
        <w:rPr>
          <w:rFonts w:ascii="Times New Roman" w:eastAsia="方正仿宋简体"/>
          <w:color w:val="auto"/>
          <w:spacing w:val="-2"/>
          <w:sz w:val="32"/>
          <w:szCs w:val="32"/>
          <w:vertAlign w:val="superscript"/>
        </w:rPr>
        <w:t>3</w:t>
      </w:r>
      <w:r>
        <w:rPr>
          <w:rFonts w:ascii="Times New Roman" w:eastAsia="方正仿宋简体"/>
          <w:color w:val="auto"/>
          <w:spacing w:val="-2"/>
          <w:sz w:val="32"/>
          <w:szCs w:val="32"/>
        </w:rPr>
        <w:t>（地表水和地下水重复量1100.8万m</w:t>
      </w:r>
      <w:r>
        <w:rPr>
          <w:rFonts w:ascii="Times New Roman" w:eastAsia="方正仿宋简体"/>
          <w:color w:val="auto"/>
          <w:spacing w:val="-2"/>
          <w:sz w:val="32"/>
          <w:szCs w:val="32"/>
          <w:vertAlign w:val="superscript"/>
        </w:rPr>
        <w:t>3</w:t>
      </w:r>
      <w:r>
        <w:rPr>
          <w:rFonts w:ascii="Times New Roman" w:eastAsia="方正仿宋简体"/>
          <w:color w:val="auto"/>
          <w:spacing w:val="-2"/>
          <w:sz w:val="32"/>
          <w:szCs w:val="32"/>
        </w:rPr>
        <w:t>）。</w:t>
      </w:r>
    </w:p>
    <w:p>
      <w:pPr>
        <w:pStyle w:val="16"/>
        <w:overflowPunct w:val="0"/>
        <w:adjustRightInd w:val="0"/>
        <w:snapToGrid w:val="0"/>
        <w:spacing w:line="560" w:lineRule="exact"/>
        <w:ind w:firstLine="640"/>
        <w:rPr>
          <w:rFonts w:ascii="Times New Roman" w:eastAsia="方正楷体简体"/>
          <w:color w:val="auto"/>
          <w:sz w:val="32"/>
          <w:szCs w:val="32"/>
        </w:rPr>
      </w:pPr>
      <w:bookmarkStart w:id="4" w:name="_Toc112233671"/>
      <w:bookmarkStart w:id="5" w:name="_Toc72324211"/>
      <w:r>
        <w:rPr>
          <w:rFonts w:ascii="Times New Roman" w:eastAsia="方正楷体简体"/>
          <w:color w:val="auto"/>
          <w:sz w:val="32"/>
          <w:szCs w:val="32"/>
        </w:rPr>
        <w:t>（二）“十三五”发展成就</w:t>
      </w:r>
      <w:bookmarkEnd w:id="4"/>
      <w:bookmarkEnd w:id="5"/>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十三五”期间，兖州区认真贯彻落实党的十八大、十九大和十八届、十九届历次全会精神，坚持新时期“节水优先、空间均衡、系统治理、两手发力”的新时代治水方针，立足兖州区情水情，主动适应经济社会发展新常态，围绕提高水安全保障能力“一大核心”，积极推进水利工程建设与深化改革“两大任务”，切实提升水利基础设施支撑和保障、水生态建设与保护、水利管理和公共服务“三大能力”，大力推进水工程保障、水资源保护、水生态修复、水文化传承、水利信息智慧化“五大体系”建设力度，水利改革发展成效显著。</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1、重大水利工程建设全面提速</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一是大力推进防洪减灾工程建设。完成了泗河综合开发兖州区防洪堤防工程，使泗河达到50年一遇防洪标准。二是加快推进水资源利用工程建设。实施了南水北调东线一期兖州区配套工程、引泗回灌龙湾店闸改造工程、兖州区引泗总干渠及大安沟等综合治理工程。三是大力推进农村水利工程建设。全面完成了“十三五”农村饮水安全提升工程任务，全区累计新建6座水厂，铺设了到全区各行政村600多公里供水主管道。全面解决了全区农村人口饮水安全问题。大力推进农田水利工程建设，实施完成了3年农田水利项目县建设。农村水利的发展为改善民生、确保粮食高产稳产发挥了有力地支撑和保障作用。</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2、最严格水资源管理制度深入推进</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落实了建设项目水资源论证制度、水功能区划制度，建立了突发水污染事件应急机制，初步形成了水资源保护的制度体系。全区取用水户全部实行装表计量，用水数据全部实现在线监测。县域节水型社会达标建设通过水利部复核验收。在全市率先启动水资源费改税改革，协助税务部门开展水量核定，2018年至</w:t>
      </w:r>
      <w:r>
        <w:rPr>
          <w:rFonts w:ascii="Times New Roman" w:eastAsia="方正仿宋简体"/>
          <w:color w:val="auto"/>
          <w:sz w:val="32"/>
          <w:szCs w:val="32"/>
          <w:lang w:val="en-US"/>
        </w:rPr>
        <w:t>2020年共</w:t>
      </w:r>
      <w:r>
        <w:rPr>
          <w:rFonts w:ascii="Times New Roman" w:eastAsia="方正仿宋简体"/>
          <w:color w:val="auto"/>
          <w:sz w:val="32"/>
          <w:szCs w:val="32"/>
        </w:rPr>
        <w:t>征收水资源税</w:t>
      </w:r>
      <w:r>
        <w:rPr>
          <w:rFonts w:ascii="Times New Roman" w:eastAsia="方正仿宋简体"/>
          <w:color w:val="auto"/>
          <w:sz w:val="32"/>
          <w:szCs w:val="32"/>
          <w:lang w:val="en-US"/>
        </w:rPr>
        <w:t>16695</w:t>
      </w:r>
      <w:r>
        <w:rPr>
          <w:rFonts w:ascii="Times New Roman" w:eastAsia="方正仿宋简体"/>
          <w:color w:val="auto"/>
          <w:sz w:val="32"/>
          <w:szCs w:val="32"/>
        </w:rPr>
        <w:t>万元。</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3、水生态文明建设成效显著</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一是为改善泗河沿岸生态环境，提升东城区经济社会活力和竞争力，建设完成了龙湖湿地、马桥湿地、青莲文化主题公园、花海彩田景区、兖州泗河省级水利风景区。二是推进实施2019年、2020年国家地下水超采综合治理。通过疏通引泗总干渠和大安河，恢复和提升引泗补源能力，通过引汶入兖工程，引汶河水入黄狼沟并拦蓄置换2890亩农田灌溉等措施补充地下水，减缓地下水位持续下降趋势。全区2019、2020年度地下水超采治理项目均以96分的优秀成绩顺利通过了省级评价。</w:t>
      </w:r>
      <w:r>
        <w:rPr>
          <w:rFonts w:ascii="Times New Roman" w:eastAsia="方正仿宋简体"/>
          <w:color w:val="auto"/>
          <w:sz w:val="32"/>
          <w:szCs w:val="32"/>
          <w:lang w:val="en-US"/>
        </w:rPr>
        <w:t>三是</w:t>
      </w:r>
      <w:r>
        <w:rPr>
          <w:rFonts w:ascii="Times New Roman" w:eastAsia="方正仿宋简体"/>
          <w:color w:val="auto"/>
          <w:sz w:val="32"/>
          <w:szCs w:val="32"/>
        </w:rPr>
        <w:t>加大水土保持工作力度。印发实施《济宁市兖州区水土保持工作实施方案》，批复了《济宁市兖州区水土保持规划（2018-2030年）》，水土保持工作在全区全面铺开、深入推进。</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4、重点水利改革取得积极进展</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一是大力推进水行政审批制度改革。按照“三集中三到位”的要求，所有涉水行政审批事项集中到兖州区审批大厅办理，不断压减审批时限，优化审批流程；大大提高了为民服务效率。二是深化国有水利工程建设管理与运行管理体制改革。积极推行水利工程代建制、设计施工总承包制。推行国有水利工程规范化和物业化管理，探索通过政府购买服务的方式由专业化队伍承担工程维修养护，培育并规范维修养护市场，逐步实现管养分离。三是深化水利投融资机制改革。积极发展投融资模式，兖州区泗河综合开发采取PPP等融资模式。四是深化水价形成机制改革。着力健全农业水价形成机制，建立农业初始水权制度和农业节水激励机制，创新农业用水管理方式。五是积极探索水权制度改革。作为全省水权制度改革试点县之一，编制完成了《济宁市兖州区水权水市场改革与建设实</w:t>
      </w:r>
      <w:bookmarkStart w:id="6" w:name="_Toc476639334"/>
      <w:bookmarkEnd w:id="6"/>
      <w:r>
        <w:rPr>
          <w:rFonts w:ascii="Times New Roman" w:eastAsia="方正仿宋简体"/>
          <w:color w:val="auto"/>
          <w:sz w:val="32"/>
          <w:szCs w:val="32"/>
        </w:rPr>
        <w:t>施方案》和《济宁市兖州区水权确权分配方案》，在全区域范围内推行水权确权登记试点工作。完成了初始水权确权，明确了可交易水权的范围，制定了水权交易管理办法和交易规则，实现了用水户节约之水可以在水权市场进行买卖。兖州区华通供水有限公司与今麦郎饮品（兖州）有限公司成功签订了取水权交易协议书，年交易水量150万m</w:t>
      </w:r>
      <w:r>
        <w:rPr>
          <w:rFonts w:ascii="Times New Roman" w:eastAsia="方正仿宋简体"/>
          <w:color w:val="auto"/>
          <w:sz w:val="32"/>
          <w:szCs w:val="32"/>
          <w:vertAlign w:val="superscript"/>
        </w:rPr>
        <w:t>3</w:t>
      </w:r>
      <w:r>
        <w:rPr>
          <w:rFonts w:ascii="Times New Roman" w:eastAsia="方正仿宋简体"/>
          <w:color w:val="auto"/>
          <w:sz w:val="32"/>
          <w:szCs w:val="32"/>
        </w:rPr>
        <w:t>。顺利完成了省厅要求的试点改革任务，成功经验在全省推广。</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5、治水管水能力不断加强</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一是强化河湖水域管理。编制“一河一策”河道综合治理实施方案，完成了</w:t>
      </w:r>
      <w:r>
        <w:rPr>
          <w:rFonts w:ascii="Times New Roman"/>
          <w:color w:val="auto"/>
          <w:sz w:val="32"/>
          <w:szCs w:val="32"/>
        </w:rPr>
        <w:t>洸</w:t>
      </w:r>
      <w:r>
        <w:rPr>
          <w:rFonts w:ascii="Times New Roman" w:eastAsia="方正仿宋简体"/>
          <w:color w:val="auto"/>
          <w:sz w:val="32"/>
          <w:szCs w:val="32"/>
        </w:rPr>
        <w:t>河、府河、黄狼沟、赵王河等17条区级及以上河道“一河一档”基础信息收集和问题排查。完成</w:t>
      </w:r>
      <w:r>
        <w:rPr>
          <w:rFonts w:ascii="Times New Roman"/>
          <w:color w:val="auto"/>
          <w:sz w:val="32"/>
          <w:szCs w:val="32"/>
        </w:rPr>
        <w:t>洸</w:t>
      </w:r>
      <w:r>
        <w:rPr>
          <w:rFonts w:ascii="Times New Roman" w:eastAsia="方正仿宋简体"/>
          <w:color w:val="auto"/>
          <w:sz w:val="32"/>
          <w:szCs w:val="32"/>
        </w:rPr>
        <w:t>府河等2条市级河道、大安河等14条区级河道、宁阳沟等7条镇级河道及13座大中型闸坝的管理和保护范围划界工作，明确了河道管理范围和水利工程保护范围，并通过网络、河道公示牌等渠道向社会进行了公告。2020年11月区政府对全区河流岸线利用管理规划进行了批复。全面推行河湖长制度，成立了兖州区河长制办公室，建立了区、镇、村三级河长体系，共落实27</w:t>
      </w:r>
      <w:r>
        <w:rPr>
          <w:rFonts w:ascii="Times New Roman" w:eastAsia="方正仿宋简体"/>
          <w:color w:val="auto"/>
          <w:sz w:val="32"/>
          <w:szCs w:val="32"/>
          <w:lang w:val="en-US"/>
        </w:rPr>
        <w:t>6</w:t>
      </w:r>
      <w:r>
        <w:rPr>
          <w:rFonts w:ascii="Times New Roman" w:eastAsia="方正仿宋简体"/>
          <w:color w:val="auto"/>
          <w:sz w:val="32"/>
          <w:szCs w:val="32"/>
        </w:rPr>
        <w:t>名河长，实现了辖区内河道的区、镇、村三级“河长”全覆盖。设立河长公示牌266块，公示了各级河长信息、河长工作职责、监督举报电话等。实施辖区主要支流、沟渠河道管理范围内“乱占、乱采、乱堆、乱建”问题专项清理整治，对排查发现及水利部、省市暗访反馈的问题进行了核实整改。各级河长使用巡河APP按照“区级一月一巡、镇级十天一巡、村级每周一巡”的频次开展日常巡查，掌握河湖状况，发现并解决问题。推进了河道保洁纳入城乡环卫一体化，编制完成《兖州区河道保洁实施方案》。方案涉及全区21条河道，总长211.2km，落实管辖范围内河道日常保洁责任。二是提升农村供水工程管理。按照“政府主导、公司运营、协会参与”的管理模式，区水务局委托华通供水有限公司对农村公共供水工程进行管理运营，</w:t>
      </w:r>
      <w:r>
        <w:rPr>
          <w:rFonts w:ascii="Times New Roman" w:eastAsia="方正仿宋简体"/>
          <w:color w:val="auto"/>
          <w:sz w:val="32"/>
          <w:szCs w:val="32"/>
          <w:lang w:val="en-US"/>
        </w:rPr>
        <w:t>并于2015年</w:t>
      </w:r>
      <w:r>
        <w:rPr>
          <w:rFonts w:ascii="Times New Roman" w:eastAsia="方正仿宋简体"/>
          <w:color w:val="auto"/>
          <w:sz w:val="32"/>
          <w:szCs w:val="32"/>
        </w:rPr>
        <w:t>获得山东省水利厅授予的全省首批省级农村规范化水厂称号。同时成立了兖州区农民用水者协会。2019年兖州区是全市唯一一个全区农村自来水普及率100%、规模化供水覆盖率100%、水质达标率100%、全日供水村庄率100%的县市区。</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“十三五”期间，兖州区被评</w:t>
      </w:r>
      <w:r>
        <w:rPr>
          <w:rFonts w:ascii="Times New Roman" w:eastAsia="方正仿宋简体"/>
          <w:color w:val="auto"/>
          <w:sz w:val="32"/>
          <w:szCs w:val="32"/>
          <w:lang w:val="en-US"/>
        </w:rPr>
        <w:t>为</w:t>
      </w:r>
      <w:r>
        <w:rPr>
          <w:rFonts w:ascii="Times New Roman" w:eastAsia="方正仿宋简体"/>
          <w:color w:val="auto"/>
          <w:sz w:val="32"/>
          <w:szCs w:val="32"/>
        </w:rPr>
        <w:t>全国节水型社会建设达标县（区）、全国小农水设施产权改革试点县（区）、全省水权制度改革试点区、全省农村饮水安全示范县。泗河（兖州段）被评为省级水利风景区、山东省水系绿化样板、省级美丽示范河湖，是济宁市第一条建成美丽示范河湖的省级河道。</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7" w:name="_Toc112233672"/>
      <w:bookmarkStart w:id="8" w:name="_Toc72324212"/>
      <w:r>
        <w:rPr>
          <w:rFonts w:ascii="Times New Roman" w:hAnsi="Times New Roman" w:eastAsia="方正楷体简体"/>
          <w:b w:val="0"/>
          <w:sz w:val="32"/>
          <w:szCs w:val="32"/>
        </w:rPr>
        <w:t>（三）“十四五”面临形势</w:t>
      </w:r>
      <w:bookmarkEnd w:id="7"/>
      <w:bookmarkEnd w:id="8"/>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1、党的十九届五中全会对水利发展提出了新要求</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党的十九届五中全会审议通过《中共中央关于制定国民经济和社会发展第十四个五年规划和二</w:t>
      </w:r>
      <w:r>
        <w:rPr>
          <w:rFonts w:ascii="Times New Roman"/>
          <w:color w:val="auto"/>
          <w:sz w:val="32"/>
          <w:szCs w:val="32"/>
        </w:rPr>
        <w:t>〇</w:t>
      </w:r>
      <w:r>
        <w:rPr>
          <w:rFonts w:ascii="Times New Roman" w:eastAsia="方正仿宋简体"/>
          <w:color w:val="auto"/>
          <w:sz w:val="32"/>
          <w:szCs w:val="32"/>
        </w:rPr>
        <w:t>三五年远景目标的建议》，为中国未来发展谋划了宏伟蓝图、指明了发展方向。全会做出了一系列重要部署，为提升水资源优化配置和水旱灾害防御能力、提高水资源集约安全利用水平等水利工作指明了努力方向、战略目标和重点任务，明确要求实施国家水网重大工程，推进重大引调水、防洪减灾等一批强基础、增功能、利长远的重大项目建设。贯彻落实十九届五中全会精神，科学谋划“十四五”水利发展规划及2035年远景目标，必须准确把握“立足新发展阶段、贯彻新发展理念、构建新发展格局”核心要义，全力推动实现水利高质量发展。立足新发展阶段，要求水利工作明确发展定位、全面提升标准，在解决好水资源、水灾害问题的同时，着力解决好水利发展不平衡不充分的问题，更好地满足人民群众对防洪安全、优质水资源、健康水生态、宜居水环境、先进水文化等方面的美好需求。贯彻新发展理念，要求水利工作坚持以人民为中心的发展思想，让人民群众有更多、更直接、更实在的获得感、幸福感、安全感；坚持问题导向，深挖根源、系统治理，有针对性的采用更加精准务实的举措；树牢底线思维，增强风险意识，固底板、补短板、锻长板，下好风险防控先手棋。构建新发展格局，要求增加水利有效供给、促进协调发展，聚焦保障防洪安全、供水安全、生态安全、粮食安全，谋划提出一批基础性、战略性重大水利项目，发挥水利建设投资在优化供给结构、畅通国内大循环方面的关键作用。</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2、国家、省和市重大战略实施为水利发展提供了新机遇</w:t>
      </w:r>
    </w:p>
    <w:p>
      <w:pPr>
        <w:pStyle w:val="16"/>
        <w:overflowPunct w:val="0"/>
        <w:adjustRightInd w:val="0"/>
        <w:snapToGrid w:val="0"/>
        <w:spacing w:line="560" w:lineRule="exact"/>
        <w:ind w:firstLine="648"/>
        <w:rPr>
          <w:rFonts w:ascii="Times New Roman" w:eastAsia="方正仿宋简体"/>
          <w:color w:val="auto"/>
          <w:spacing w:val="2"/>
          <w:sz w:val="32"/>
          <w:szCs w:val="32"/>
        </w:rPr>
      </w:pPr>
      <w:r>
        <w:rPr>
          <w:rFonts w:ascii="Times New Roman" w:eastAsia="方正仿宋简体"/>
          <w:color w:val="auto"/>
          <w:spacing w:val="2"/>
          <w:sz w:val="32"/>
          <w:szCs w:val="32"/>
        </w:rPr>
        <w:t>“十四五”时期是我国全面建成小康社会、实现第一个百年目标之后，乘势而上开启全面建设社会主义现代化国家新征程、向第二个百年奋斗目标进军的第一个五年；习近平在黄河流域生态保护和高质量发展座谈会上发出了“让黄河成为造福人民的幸福河”的伟大号召，强调要共同抓好大保护、协同推进大治理，黄河流域生态保护和高质量发展上升为重大国家战略，为山东发展提供了历史性机遇。山东“十四五”时期将深入实施八大发展战略，坚定不移推动新旧动能转换，建设国内大循环战略节点、国内国际双循环战略枢纽；济宁市“十四五”期间将加快新旧动能转换，推动高质量发展，大力推进“生态济宁、信息济宁、美丽济宁、文化济宁、民生济宁”五个济宁建设。经过“十三五”期间的努力，兖州区也具备了高质量发展的诸多优势：一是工业化处于上升期。主导产业更加突出，骨干企业支撑作用明显增强，特色产业由集聚向集群转变，园区空间得到拓展，工业经济向好态势日趋增强。二是城镇化进入拓展期。城镇化所释放的动能加快了现代产业体系的构建，发展新空间的全面展开，城市发展将进入扩容提质、内涵提升阶段。三是交通处于重塑期。济宁机场、鲁南高铁、济微高速等一大批重大交通基础设施在兖州布局，对于发挥铁路、公路、航空优势，重塑兖州交通枢纽地位具有重大的战略意义。“十四五”时期，兖州区将加快建设富强兖州、活力兖州、端信兖州、魅力兖州、幸福兖州，加快建设“新型工业基地、枢纽型物流中心、生态宜居城市”，全力打造济宁城市发展新空间、产业发展新高地，倾力打造“六个强区”，全面建设新时代现代化强区，因此迫切需要强化水资源刚性约束，提升水资源优化配置和水旱灾害防御能力，尽快推动一批水资源保护利用、防洪减灾、生态保护重大项目、重大工程，夯实高质量发展的水安全保障基础。</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3、水利改革发展面临新挑战</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受自然地理和气候条件影响，兖州区水患与干旱并存，资源性缺水与工程性缺水并存，水仍是新发展阶段全区经济社会高质量发展的关键制约。</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bCs w:val="0"/>
          <w:color w:val="auto"/>
          <w:sz w:val="32"/>
          <w:szCs w:val="32"/>
        </w:rPr>
        <w:t>水旱灾害防御体系存在薄弱环节。</w:t>
      </w:r>
      <w:r>
        <w:rPr>
          <w:rFonts w:ascii="Times New Roman" w:eastAsia="方正仿宋简体"/>
          <w:color w:val="auto"/>
          <w:sz w:val="32"/>
          <w:szCs w:val="32"/>
          <w:lang w:val="en-US"/>
        </w:rPr>
        <w:t>一是泗河虽按照50年一遇洪水标准进行了治理，但左岸泗沂三角地带泗河及小沂河右岸无堤，防洪标准低下，存在防汛安全隐患；二是杨家河等支流多年未进行系统治理，防洪标准未达到规范要求；三是屯头等水闸老化失修，存在较大的安全隐患；四是洪水管理能力还不能满足高质量发展要求。</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bCs w:val="0"/>
          <w:color w:val="auto"/>
          <w:sz w:val="32"/>
          <w:szCs w:val="32"/>
        </w:rPr>
        <w:t>水资源保障能力有待提高。</w:t>
      </w:r>
      <w:r>
        <w:rPr>
          <w:rFonts w:ascii="Times New Roman" w:eastAsia="方正仿宋简体"/>
          <w:color w:val="auto"/>
          <w:sz w:val="32"/>
          <w:szCs w:val="32"/>
        </w:rPr>
        <w:t>一是用水结构不够合理，地表水资源开发利用程度不高，部分地区地下水过度开采。二是境内均为平原，地表水拦蓄利用难度较大；水系连通工程和河道拦蓄工程欠缺，水源调蓄控制能力不足，雨洪水资源不能充分拦蓄利用，地表水利用率低。三是节水仍有潜力，再生水利用率有待提高。</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bCs w:val="0"/>
          <w:color w:val="auto"/>
          <w:sz w:val="32"/>
          <w:szCs w:val="32"/>
        </w:rPr>
        <w:t>水生态文明建设有待加快推进。</w:t>
      </w:r>
      <w:r>
        <w:rPr>
          <w:rFonts w:ascii="Times New Roman" w:eastAsia="方正仿宋简体"/>
          <w:color w:val="auto"/>
          <w:sz w:val="32"/>
          <w:szCs w:val="32"/>
          <w:lang w:val="en-US"/>
        </w:rPr>
        <w:t>一是地下水超采区治理效果未充分显现，部分区域地下水水位上升缓慢，治理任务任重道远；二是全区水土保持工作起步较晚，水土保持监管力量和监管体系有待完善；三是工业再生水产量大，再生水回用率有待进一步提升。</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bCs w:val="0"/>
          <w:color w:val="auto"/>
          <w:sz w:val="32"/>
          <w:szCs w:val="32"/>
        </w:rPr>
        <w:t>水利信息化、智慧化水平不高。</w:t>
      </w:r>
      <w:r>
        <w:rPr>
          <w:rFonts w:ascii="Times New Roman" w:eastAsia="方正仿宋简体"/>
          <w:color w:val="auto"/>
          <w:sz w:val="32"/>
          <w:szCs w:val="32"/>
          <w:lang w:val="en-US"/>
        </w:rPr>
        <w:t>一是</w:t>
      </w:r>
      <w:r>
        <w:rPr>
          <w:rFonts w:ascii="Times New Roman" w:eastAsia="方正仿宋简体"/>
          <w:color w:val="auto"/>
          <w:sz w:val="32"/>
          <w:szCs w:val="32"/>
        </w:rPr>
        <w:t>雨情、水情、工情感知体系不健全，基础数据不完善、自动化智能化采集程度低；</w:t>
      </w:r>
      <w:r>
        <w:rPr>
          <w:rFonts w:ascii="Times New Roman" w:eastAsia="方正仿宋简体"/>
          <w:color w:val="auto"/>
          <w:sz w:val="32"/>
          <w:szCs w:val="32"/>
          <w:lang w:val="en-US"/>
        </w:rPr>
        <w:t>二是</w:t>
      </w:r>
      <w:r>
        <w:rPr>
          <w:rFonts w:ascii="Times New Roman" w:eastAsia="方正仿宋简体"/>
          <w:color w:val="auto"/>
          <w:sz w:val="32"/>
          <w:szCs w:val="32"/>
        </w:rPr>
        <w:t>信息资源整合与共享不够，信息归集仍存在分散化、碎片化、孤岛化现象，水利业务协同和智能化水平不高；</w:t>
      </w:r>
      <w:r>
        <w:rPr>
          <w:rFonts w:ascii="Times New Roman" w:eastAsia="方正仿宋简体"/>
          <w:color w:val="auto"/>
          <w:sz w:val="32"/>
          <w:szCs w:val="32"/>
          <w:lang w:val="en-US"/>
        </w:rPr>
        <w:t>三是</w:t>
      </w:r>
      <w:r>
        <w:rPr>
          <w:rFonts w:ascii="Times New Roman" w:eastAsia="方正仿宋简体"/>
          <w:color w:val="auto"/>
          <w:sz w:val="32"/>
          <w:szCs w:val="32"/>
        </w:rPr>
        <w:t>网络安全防护能力不足和保障体系不完善，距水利信息化、智慧化要求仍有较大差距。</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bCs w:val="0"/>
          <w:color w:val="auto"/>
          <w:sz w:val="32"/>
          <w:szCs w:val="32"/>
        </w:rPr>
        <w:t>水利改革攻坚任务依然艰巨。</w:t>
      </w:r>
      <w:r>
        <w:rPr>
          <w:rFonts w:ascii="Times New Roman" w:eastAsia="方正仿宋简体"/>
          <w:color w:val="auto"/>
          <w:sz w:val="32"/>
          <w:szCs w:val="32"/>
          <w:lang w:val="en-US"/>
        </w:rPr>
        <w:t>一是</w:t>
      </w:r>
      <w:r>
        <w:rPr>
          <w:rFonts w:ascii="Times New Roman" w:eastAsia="方正仿宋简体"/>
          <w:color w:val="auto"/>
          <w:sz w:val="32"/>
          <w:szCs w:val="32"/>
        </w:rPr>
        <w:t>治理体制机制不完善，水利监管机制尚未形成。水量分配、生态流量管控机制尚不完善，水资源用水计量、监控能力不足，动态性、实时性信息欠缺。河湖管理保护能力与需求不适应，河湖划界后确权比例偏低。水利工程管理标准化、规范化程度低，良性运行机制尚不完善。人为新增水土流失监管不够到位，仍然存在“边治理、边破坏”的现象，一些地区和行业水土保持违法违规行为时有发生。水利法治的权威性和执法力度还不够强，依法治水管水体制机制尚待进一步健全。</w:t>
      </w:r>
      <w:r>
        <w:rPr>
          <w:rFonts w:ascii="Times New Roman" w:eastAsia="方正仿宋简体"/>
          <w:color w:val="auto"/>
          <w:sz w:val="32"/>
          <w:szCs w:val="32"/>
          <w:lang w:val="en-US"/>
        </w:rPr>
        <w:t>二是</w:t>
      </w:r>
      <w:r>
        <w:rPr>
          <w:rFonts w:ascii="Times New Roman" w:eastAsia="方正仿宋简体"/>
          <w:color w:val="auto"/>
          <w:sz w:val="32"/>
          <w:szCs w:val="32"/>
        </w:rPr>
        <w:t>水利改革创新需进一步突破。水权水市场制度尚不健全，水价杠杆作用不明显，市场在水资源配置的决定性作用发挥不够。“谁破坏、谁补偿，谁受益、谁负担”的水资源生态补偿机制没有到位，水生态保护能力不强。社会资本进入水利工程建设意愿不强，水利建设筹资压力巨大。</w:t>
      </w:r>
      <w:bookmarkStart w:id="9" w:name="_Toc27426604"/>
      <w:bookmarkStart w:id="10" w:name="_Toc27322297"/>
      <w:bookmarkStart w:id="11" w:name="_Toc27426435"/>
      <w:r>
        <w:rPr>
          <w:rFonts w:ascii="Times New Roman" w:eastAsia="方正仿宋简体"/>
          <w:color w:val="auto"/>
          <w:sz w:val="32"/>
          <w:szCs w:val="32"/>
        </w:rPr>
        <w:t>节约用水等领域</w:t>
      </w:r>
      <w:bookmarkEnd w:id="9"/>
      <w:bookmarkEnd w:id="10"/>
      <w:bookmarkEnd w:id="11"/>
      <w:r>
        <w:rPr>
          <w:rFonts w:ascii="Times New Roman" w:eastAsia="方正仿宋简体"/>
          <w:color w:val="auto"/>
          <w:sz w:val="32"/>
          <w:szCs w:val="32"/>
        </w:rPr>
        <w:t>法规体系尚不完善，地下水管理、水生态保护和修复等领域法规基础薄弱。人才队伍结构亟待优化，高层次、拔尖人才培养体系尚未建立。</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综上所述，“十四五”时期是“挖潜力、补短板、强监管、激活力、提质量”的发展阶段，水旱灾害防御体系存在薄弱环节和水资源保障体系存在短板仍然是全区面临的突出问题，要立足区情水情，加快推进水利治理体系和治理能力现代化，着力构建适应时代发展要求和人民群众期待、具有兖州特色的水安全保障体系。</w:t>
      </w:r>
      <w:bookmarkStart w:id="12" w:name="_Toc72324213"/>
      <w:bookmarkStart w:id="13" w:name="_Toc112233673"/>
    </w:p>
    <w:p>
      <w:pPr>
        <w:pStyle w:val="16"/>
        <w:overflowPunct w:val="0"/>
        <w:adjustRightInd w:val="0"/>
        <w:snapToGrid w:val="0"/>
        <w:spacing w:line="560" w:lineRule="exact"/>
        <w:ind w:firstLine="640"/>
        <w:rPr>
          <w:rFonts w:ascii="Times New Roman" w:eastAsia="方正黑体简体"/>
          <w:color w:val="auto"/>
          <w:sz w:val="32"/>
          <w:szCs w:val="32"/>
        </w:rPr>
      </w:pPr>
      <w:r>
        <w:rPr>
          <w:rFonts w:ascii="Times New Roman" w:eastAsia="方正黑体简体"/>
          <w:bCs w:val="0"/>
          <w:color w:val="auto"/>
          <w:sz w:val="32"/>
          <w:szCs w:val="32"/>
        </w:rPr>
        <w:t>二、</w:t>
      </w:r>
      <w:r>
        <w:rPr>
          <w:rFonts w:ascii="Times New Roman" w:eastAsia="方正黑体简体"/>
          <w:color w:val="auto"/>
          <w:sz w:val="32"/>
          <w:szCs w:val="32"/>
        </w:rPr>
        <w:t>总体</w:t>
      </w:r>
      <w:bookmarkEnd w:id="12"/>
      <w:r>
        <w:rPr>
          <w:rFonts w:ascii="Times New Roman" w:eastAsia="方正黑体简体"/>
          <w:color w:val="auto"/>
          <w:sz w:val="32"/>
          <w:szCs w:val="32"/>
        </w:rPr>
        <w:t>思路</w:t>
      </w:r>
      <w:bookmarkEnd w:id="13"/>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14" w:name="_Toc72324214"/>
      <w:bookmarkStart w:id="15" w:name="_Toc112233674"/>
      <w:r>
        <w:rPr>
          <w:rFonts w:ascii="Times New Roman" w:hAnsi="Times New Roman" w:eastAsia="方正楷体简体" w:cs="Times New Roman"/>
          <w:szCs w:val="32"/>
        </w:rPr>
        <w:t>（一）指导思想</w:t>
      </w:r>
      <w:bookmarkEnd w:id="14"/>
      <w:bookmarkEnd w:id="15"/>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kern w:val="0"/>
          <w:sz w:val="32"/>
          <w:szCs w:val="32"/>
        </w:rPr>
        <w:t>“十四五”期间，兖州区水利发展将高举中国特色社会主义伟大旗帜，全面贯彻落实党的</w:t>
      </w:r>
      <w:r>
        <w:rPr>
          <w:rFonts w:hint="eastAsia" w:ascii="Times New Roman" w:eastAsia="方正仿宋简体"/>
          <w:color w:val="auto"/>
          <w:kern w:val="0"/>
          <w:sz w:val="32"/>
          <w:szCs w:val="32"/>
        </w:rPr>
        <w:t>十九大、二十大和十九届历次全会</w:t>
      </w:r>
      <w:r>
        <w:rPr>
          <w:rFonts w:ascii="Times New Roman" w:eastAsia="方正仿宋简体"/>
          <w:color w:val="auto"/>
          <w:kern w:val="0"/>
          <w:sz w:val="32"/>
          <w:szCs w:val="32"/>
        </w:rPr>
        <w:t>精神，积极践行“节水优先、空间均衡、系统治理、两手发力”的治水方针，严格按照“水利工程补短板，水利行业强监管”工作总基调转变工作重心，</w:t>
      </w:r>
      <w:r>
        <w:rPr>
          <w:rFonts w:ascii="Times New Roman" w:eastAsia="方正仿宋简体"/>
          <w:color w:val="auto"/>
          <w:sz w:val="32"/>
          <w:szCs w:val="32"/>
        </w:rPr>
        <w:t>积极对接南水北调东线二期、南四湖生态保护与高质量发展等国家战略，抓好工程建设与体制建设两个着力点，双向发力，节水、蓄水、供水、洪水、涝水、污水“六水”共治，地表水、地下水、外调水、非常规水“四水”并用，加快建立以供水安全、防洪安全、生态安全为核心的水安全保障体系，为全区经济社会高质量发展提供强力支撑和保障。</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16" w:name="_Toc72324215"/>
      <w:bookmarkStart w:id="17" w:name="_Toc112233675"/>
      <w:r>
        <w:rPr>
          <w:rFonts w:ascii="Times New Roman" w:hAnsi="Times New Roman" w:eastAsia="方正楷体简体" w:cs="Times New Roman"/>
          <w:szCs w:val="32"/>
        </w:rPr>
        <w:t>（二）基本原则</w:t>
      </w:r>
      <w:bookmarkEnd w:id="16"/>
      <w:bookmarkEnd w:id="17"/>
    </w:p>
    <w:p>
      <w:pPr>
        <w:pStyle w:val="16"/>
        <w:overflowPunct w:val="0"/>
        <w:adjustRightInd w:val="0"/>
        <w:snapToGrid w:val="0"/>
        <w:spacing w:line="560" w:lineRule="exact"/>
        <w:ind w:firstLine="640"/>
        <w:rPr>
          <w:rFonts w:ascii="Times New Roman" w:eastAsia="方正仿宋简体"/>
          <w:color w:val="auto"/>
          <w:sz w:val="32"/>
          <w:szCs w:val="32"/>
          <w:lang w:val="en-US"/>
        </w:rPr>
      </w:pPr>
      <w:r>
        <w:rPr>
          <w:rFonts w:ascii="Times New Roman" w:eastAsia="方正楷体简体"/>
          <w:color w:val="auto"/>
          <w:sz w:val="32"/>
          <w:szCs w:val="32"/>
          <w:lang w:val="en-US"/>
        </w:rPr>
        <w:t>一是坚持党的全面领导。</w:t>
      </w:r>
      <w:r>
        <w:rPr>
          <w:rFonts w:ascii="Times New Roman" w:eastAsia="方正仿宋简体"/>
          <w:color w:val="auto"/>
          <w:sz w:val="32"/>
          <w:szCs w:val="32"/>
          <w:lang w:val="en-US"/>
        </w:rPr>
        <w:t>坚持和加强党对水务工作的集中统一领导，增强“四个意识”、坚定“四个自信”、做到“两个维护”，在党的领导下谋划“十四五”水利改革发展，不断提高贯彻新发展理念、构建新发展格局能力和水平，为实现高质量发展提供根本保证。</w:t>
      </w:r>
    </w:p>
    <w:p>
      <w:pPr>
        <w:pStyle w:val="16"/>
        <w:overflowPunct w:val="0"/>
        <w:adjustRightInd w:val="0"/>
        <w:snapToGrid w:val="0"/>
        <w:spacing w:line="560" w:lineRule="exact"/>
        <w:ind w:firstLine="640"/>
        <w:rPr>
          <w:rFonts w:ascii="Times New Roman" w:eastAsia="方正仿宋简体"/>
          <w:color w:val="auto"/>
          <w:sz w:val="32"/>
          <w:szCs w:val="32"/>
          <w:lang w:val="en-US"/>
        </w:rPr>
      </w:pPr>
      <w:r>
        <w:rPr>
          <w:rFonts w:ascii="Times New Roman" w:eastAsia="方正楷体简体"/>
          <w:color w:val="auto"/>
          <w:sz w:val="32"/>
          <w:szCs w:val="32"/>
          <w:lang w:val="en-US"/>
        </w:rPr>
        <w:t>二是坚持以人民为中心。</w:t>
      </w:r>
      <w:r>
        <w:rPr>
          <w:rFonts w:ascii="Times New Roman" w:eastAsia="方正仿宋简体"/>
          <w:color w:val="auto"/>
          <w:sz w:val="32"/>
          <w:szCs w:val="32"/>
          <w:lang w:val="en-US"/>
        </w:rPr>
        <w:t>牢固树立以人民为中心的发展思想，紧紧围绕人民群众对防洪保安全、优质水资源、健康水生态、宜居水环境、先进水文化的需求，把增进民生福祉作为水利改革发展的出发点和落脚点，推动水利基本公共服务均等化，增强人民群众的获得感、幸福感。</w:t>
      </w:r>
    </w:p>
    <w:p>
      <w:pPr>
        <w:pStyle w:val="16"/>
        <w:overflowPunct w:val="0"/>
        <w:adjustRightInd w:val="0"/>
        <w:snapToGrid w:val="0"/>
        <w:spacing w:line="560" w:lineRule="exact"/>
        <w:ind w:firstLine="640"/>
        <w:rPr>
          <w:rFonts w:ascii="Times New Roman" w:eastAsia="方正仿宋简体"/>
          <w:color w:val="auto"/>
          <w:sz w:val="32"/>
          <w:szCs w:val="32"/>
          <w:lang w:val="en-US"/>
        </w:rPr>
      </w:pPr>
      <w:r>
        <w:rPr>
          <w:rFonts w:ascii="Times New Roman" w:eastAsia="方正楷体简体"/>
          <w:color w:val="auto"/>
          <w:sz w:val="32"/>
          <w:szCs w:val="32"/>
          <w:lang w:val="en-US"/>
        </w:rPr>
        <w:t>三是坚持水资源节约集约利用。</w:t>
      </w:r>
      <w:r>
        <w:rPr>
          <w:rFonts w:ascii="Times New Roman" w:eastAsia="方正仿宋简体"/>
          <w:color w:val="auto"/>
          <w:sz w:val="32"/>
          <w:szCs w:val="32"/>
          <w:lang w:val="en-US"/>
        </w:rPr>
        <w:t>按照“以水定城、以水定地、以水定人、以水定产”的原则，严格落实节水优先，全面促进水资源节约集约利用，推动经济社会转型发展，以供定需、量水而行。提高水资源要素与其他经济社会要素的适配性，遏制水资源过度开发利用，将水资源作为最大刚性约束，促进经济社会发展布局与水资源条件相匹配。</w:t>
      </w:r>
    </w:p>
    <w:p>
      <w:pPr>
        <w:pStyle w:val="16"/>
        <w:overflowPunct w:val="0"/>
        <w:adjustRightInd w:val="0"/>
        <w:snapToGrid w:val="0"/>
        <w:spacing w:line="560" w:lineRule="exact"/>
        <w:ind w:firstLine="640"/>
        <w:rPr>
          <w:rFonts w:ascii="Times New Roman" w:eastAsia="方正仿宋简体"/>
          <w:color w:val="auto"/>
          <w:sz w:val="32"/>
          <w:szCs w:val="32"/>
          <w:lang w:val="en-US"/>
        </w:rPr>
      </w:pPr>
      <w:r>
        <w:rPr>
          <w:rFonts w:ascii="Times New Roman" w:eastAsia="方正楷体简体"/>
          <w:color w:val="auto"/>
          <w:sz w:val="32"/>
          <w:szCs w:val="32"/>
          <w:lang w:val="en-US"/>
        </w:rPr>
        <w:t>四是坚持人水和谐绿色发展。</w:t>
      </w:r>
      <w:r>
        <w:rPr>
          <w:rFonts w:ascii="Times New Roman" w:eastAsia="方正仿宋简体"/>
          <w:color w:val="auto"/>
          <w:sz w:val="32"/>
          <w:szCs w:val="32"/>
          <w:lang w:val="en-US"/>
        </w:rPr>
        <w:t>树立和践行“绿水青山就是金山银山”的理念，调整行为方式，统筹解决河湖水资源、水安全、水环境、水生态问题，积极提升水环境质量，使河湖宁静、和谐、美丽，实现水清河畅、岸绿景美、河湖安澜。</w:t>
      </w:r>
    </w:p>
    <w:p>
      <w:pPr>
        <w:pStyle w:val="16"/>
        <w:overflowPunct w:val="0"/>
        <w:adjustRightInd w:val="0"/>
        <w:snapToGrid w:val="0"/>
        <w:spacing w:line="560" w:lineRule="exact"/>
        <w:ind w:firstLine="640"/>
        <w:rPr>
          <w:rFonts w:ascii="Times New Roman" w:eastAsia="方正仿宋简体"/>
          <w:color w:val="auto"/>
          <w:sz w:val="32"/>
          <w:szCs w:val="32"/>
          <w:lang w:val="en-US"/>
        </w:rPr>
      </w:pPr>
      <w:r>
        <w:rPr>
          <w:rFonts w:ascii="Times New Roman" w:eastAsia="方正楷体简体"/>
          <w:color w:val="auto"/>
          <w:sz w:val="32"/>
          <w:szCs w:val="32"/>
          <w:lang w:val="en-US"/>
        </w:rPr>
        <w:t>五是坚持统筹兼顾系统治理。</w:t>
      </w:r>
      <w:r>
        <w:rPr>
          <w:rFonts w:ascii="Times New Roman" w:eastAsia="方正仿宋简体"/>
          <w:color w:val="auto"/>
          <w:sz w:val="32"/>
          <w:szCs w:val="32"/>
          <w:lang w:val="en-US"/>
        </w:rPr>
        <w:t>用系统思维统筹山水林田湖草沙综合治理，完善政府负责、社会协同、公众参与、法治保障的水治理体制。与区“十四五”发展规划、国土空间规划、区域发展规划等充分衔接，统筹协调流域区域发展，兼顾上下游、左右岸、干支流统筹发展；坚持兴利与除害、开发与保护、工程措施与非工程措施并重，充分考虑防洪、排涝、供水、灌溉、生态等方面的需求，统筹解决水资源短缺、水旱灾害威胁、水生态退化等问题。</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18" w:name="_Toc61351954"/>
      <w:bookmarkEnd w:id="18"/>
      <w:bookmarkStart w:id="19" w:name="_Toc72324216"/>
      <w:bookmarkStart w:id="20" w:name="_Toc112233676"/>
      <w:r>
        <w:rPr>
          <w:rFonts w:ascii="Times New Roman" w:hAnsi="Times New Roman" w:eastAsia="方正楷体简体" w:cs="Times New Roman"/>
          <w:szCs w:val="32"/>
        </w:rPr>
        <w:t>（三）编制依据</w:t>
      </w:r>
      <w:bookmarkEnd w:id="19"/>
      <w:bookmarkEnd w:id="20"/>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（1）中华人民共和国《水法》、《防洪法》、《水土保持法》、《水污染防治法》、《土地管理法》、《文物保护法》、《环境影响评价法》等法律法规及省市的有关实施办法。</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（2）《山东省人民政府关于修改〈山东省节约用水办法〉等33件省政府规章的决定》。</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（3）党的十九大和历次全会精神；中央及省市农村、水利工作会议和市第十四次党代会等一系列重要会议精神。</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（4）山东省水利厅和济宁市人民政府等编制“十四五”规划的要求和有关文件。</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（5）国家已经批复、已经编制的水土保持、河道治理、病险水闸除险加固、蓄滞洪区建设等各类专项规划。</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（6）济宁市“十四五”城乡水务发展规划。</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（7）水利建设工程前期工作成果。</w:t>
      </w:r>
    </w:p>
    <w:p>
      <w:pPr>
        <w:pStyle w:val="16"/>
        <w:overflowPunct w:val="0"/>
        <w:adjustRightInd w:val="0"/>
        <w:snapToGrid w:val="0"/>
        <w:spacing w:line="560" w:lineRule="exact"/>
        <w:ind w:firstLine="640"/>
        <w:rPr>
          <w:rFonts w:ascii="Times New Roman" w:eastAsia="方正楷体简体"/>
          <w:color w:val="auto"/>
          <w:sz w:val="32"/>
          <w:szCs w:val="32"/>
          <w:lang w:val="en-US"/>
        </w:rPr>
      </w:pPr>
      <w:r>
        <w:rPr>
          <w:rFonts w:ascii="Times New Roman" w:eastAsia="方正楷体简体"/>
          <w:color w:val="auto"/>
          <w:sz w:val="32"/>
          <w:szCs w:val="32"/>
          <w:lang w:val="en-US"/>
        </w:rPr>
        <w:t>2、规划水平年</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现状水平年：2020年</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规划水平年：规划年2025年</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21" w:name="_Toc72324217"/>
      <w:bookmarkStart w:id="22" w:name="_Toc112233677"/>
      <w:bookmarkStart w:id="23" w:name="_Toc22449"/>
      <w:r>
        <w:rPr>
          <w:rFonts w:ascii="Times New Roman" w:hAnsi="Times New Roman" w:eastAsia="方正楷体简体" w:cs="Times New Roman"/>
          <w:szCs w:val="32"/>
        </w:rPr>
        <w:t>（四）发展目标</w:t>
      </w:r>
      <w:bookmarkEnd w:id="21"/>
      <w:bookmarkEnd w:id="22"/>
      <w:bookmarkEnd w:id="23"/>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坚持把河道生态治理、美丽幸福河湖建设作为水利基础设施建设的优先领域，统筹推进河湖长制、实施水价改革等重点领域改革攻坚，深化水利投融资机制改革,积极探索投资多元化筹集方式，努力构建现代化水网，实现供水智慧化，加快节水型社会建设,全面提升水利现代化水平。“十四五”期间，落实“水利工程补短板、水利行业强监管”水利改革发展总基调，推进水利现代化进程、提升水安全保障能力，基本建立起有利于水利科学发展和可持续发展的水利工程与管理体系，加快实现水利现代化。以完善水利基础设施网络、建立高效的水利管理体系、激发水利发展内生动力三大措施为抓手，实现水旱灾害防御、水资源高效利用、水生态文明建设、水利信息化建设、管理体制改革等五大目标。</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到2025年，水利基础设施空间布局更加合理，水旱灾害防御、水资源保障、水生态保护、水利信息化建设等薄弱环节得到有效加强；行业监督和社会监管水平显著提升；体制机制改革创新全面推进，水治理体系和治理能力现代化水平大幅提升；防洪保安全、优质水资源、健康水生态、宜居水环境、先进水文化的美丽幸福河湖建设成效显著，基本建成与生态保护和高质量发展要求相适应的具有兖州特色的水安全保障体系。坚持绿水青山就是金山银山理念，完善生态文明领域协同机制，加强生态空间共保，推动环境协同治理，打好污染防治攻坚战，推动全面绿色转型，促进人与自然和谐共生。</w:t>
      </w:r>
    </w:p>
    <w:p>
      <w:pPr>
        <w:pStyle w:val="16"/>
        <w:overflowPunct w:val="0"/>
        <w:adjustRightInd w:val="0"/>
        <w:snapToGrid w:val="0"/>
        <w:spacing w:line="560" w:lineRule="exact"/>
        <w:ind w:firstLine="640"/>
        <w:rPr>
          <w:rFonts w:ascii="Times New Roman" w:eastAsia="方正楷体简体"/>
          <w:color w:val="auto"/>
          <w:sz w:val="32"/>
          <w:szCs w:val="32"/>
          <w:lang w:val="en-US"/>
        </w:rPr>
      </w:pPr>
      <w:r>
        <w:rPr>
          <w:rFonts w:ascii="Times New Roman" w:eastAsia="方正楷体简体"/>
          <w:color w:val="auto"/>
          <w:sz w:val="32"/>
          <w:szCs w:val="32"/>
          <w:lang w:val="en-US"/>
        </w:rPr>
        <w:t>1.水旱灾害防御目标</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健全水旱灾害防御指挥调度体系。骨干河道防洪标准达到国家规定标准，基本建立安全达标的防洪减灾体系，超标准洪水可以科学处置。</w:t>
      </w:r>
    </w:p>
    <w:p>
      <w:pPr>
        <w:pStyle w:val="16"/>
        <w:overflowPunct w:val="0"/>
        <w:adjustRightInd w:val="0"/>
        <w:snapToGrid w:val="0"/>
        <w:spacing w:line="560" w:lineRule="exact"/>
        <w:ind w:firstLine="640"/>
        <w:rPr>
          <w:rFonts w:ascii="Times New Roman" w:eastAsia="方正楷体简体"/>
          <w:color w:val="auto"/>
          <w:sz w:val="32"/>
          <w:szCs w:val="32"/>
          <w:lang w:val="en-US"/>
        </w:rPr>
      </w:pPr>
      <w:r>
        <w:rPr>
          <w:rFonts w:ascii="Times New Roman" w:eastAsia="方正楷体简体"/>
          <w:color w:val="auto"/>
          <w:sz w:val="32"/>
          <w:szCs w:val="32"/>
          <w:lang w:val="en-US"/>
        </w:rPr>
        <w:t>2.水资源高效利用目标</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建立多水源供水体系，正常年份基本实现水资源供需平衡，满足人民生活、工农业生产、生态用水需求；基本形成绿色生产生活方式，全社会用水效率达到全市领先水平，全区用水总量控制在1.76亿m</w:t>
      </w:r>
      <w:r>
        <w:rPr>
          <w:rFonts w:ascii="Times New Roman"/>
          <w:color w:val="auto"/>
          <w:sz w:val="32"/>
          <w:szCs w:val="32"/>
        </w:rPr>
        <w:t>³</w:t>
      </w:r>
      <w:r>
        <w:rPr>
          <w:rFonts w:ascii="Times New Roman" w:eastAsia="方正仿宋简体"/>
          <w:color w:val="auto"/>
          <w:sz w:val="32"/>
          <w:szCs w:val="32"/>
        </w:rPr>
        <w:t>/年。</w:t>
      </w:r>
    </w:p>
    <w:p>
      <w:pPr>
        <w:pStyle w:val="16"/>
        <w:overflowPunct w:val="0"/>
        <w:adjustRightInd w:val="0"/>
        <w:snapToGrid w:val="0"/>
        <w:spacing w:line="560" w:lineRule="exact"/>
        <w:ind w:firstLine="640"/>
        <w:rPr>
          <w:rFonts w:ascii="Times New Roman" w:eastAsia="方正楷体简体"/>
          <w:color w:val="auto"/>
          <w:sz w:val="32"/>
          <w:szCs w:val="32"/>
          <w:lang w:val="en-US"/>
        </w:rPr>
      </w:pPr>
      <w:r>
        <w:rPr>
          <w:rFonts w:ascii="Times New Roman" w:eastAsia="方正楷体简体"/>
          <w:color w:val="auto"/>
          <w:sz w:val="32"/>
          <w:szCs w:val="32"/>
          <w:lang w:val="en-US"/>
        </w:rPr>
        <w:t>3.水生态文明建设目标</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中型以上河道和穿越城镇、重点经济区河流保有生态水量，重点河流全面恢复水环境功能，水环境生态系统基本得到修复。</w:t>
      </w:r>
    </w:p>
    <w:p>
      <w:pPr>
        <w:pStyle w:val="16"/>
        <w:overflowPunct w:val="0"/>
        <w:adjustRightInd w:val="0"/>
        <w:snapToGrid w:val="0"/>
        <w:spacing w:line="560" w:lineRule="exact"/>
        <w:ind w:firstLine="640"/>
        <w:rPr>
          <w:rFonts w:ascii="Times New Roman" w:eastAsia="方正楷体简体"/>
          <w:color w:val="auto"/>
          <w:sz w:val="32"/>
          <w:szCs w:val="32"/>
          <w:lang w:val="en-US"/>
        </w:rPr>
      </w:pPr>
      <w:r>
        <w:rPr>
          <w:rFonts w:ascii="Times New Roman" w:eastAsia="方正楷体简体"/>
          <w:color w:val="auto"/>
          <w:sz w:val="32"/>
          <w:szCs w:val="32"/>
          <w:lang w:val="en-US"/>
        </w:rPr>
        <w:t>4.水利信息化建设目标</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加强重点领域数字信息应用的改革攻坚，整体提高水利技术装备水平。力争用五年时间基本建成全区水利信息监测采集传输处理网络、公共平台和重点业务应用系统。</w:t>
      </w:r>
    </w:p>
    <w:p>
      <w:pPr>
        <w:pStyle w:val="16"/>
        <w:overflowPunct w:val="0"/>
        <w:adjustRightInd w:val="0"/>
        <w:snapToGrid w:val="0"/>
        <w:spacing w:line="560" w:lineRule="exact"/>
        <w:ind w:firstLine="640"/>
        <w:rPr>
          <w:rFonts w:ascii="Times New Roman" w:eastAsia="方正楷体简体"/>
          <w:color w:val="auto"/>
          <w:sz w:val="32"/>
          <w:szCs w:val="32"/>
          <w:lang w:val="en-US"/>
        </w:rPr>
      </w:pPr>
      <w:r>
        <w:rPr>
          <w:rFonts w:ascii="Times New Roman" w:eastAsia="方正楷体简体"/>
          <w:color w:val="auto"/>
          <w:sz w:val="32"/>
          <w:szCs w:val="32"/>
          <w:lang w:val="en-US"/>
        </w:rPr>
        <w:t>5.水管理改革目标</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建立起现代水管理体系，水管理机制富有效率、充满活力。部分地区和部分领域基本实现水利现代化。</w:t>
      </w:r>
    </w:p>
    <w:p>
      <w:pPr>
        <w:pStyle w:val="16"/>
        <w:overflowPunct w:val="0"/>
        <w:adjustRightInd w:val="0"/>
        <w:snapToGrid w:val="0"/>
        <w:spacing w:line="200" w:lineRule="exact"/>
        <w:ind w:firstLine="883"/>
        <w:rPr>
          <w:rFonts w:ascii="Times New Roman" w:eastAsia="方正小标宋简体"/>
          <w:b/>
          <w:color w:val="auto"/>
          <w:sz w:val="44"/>
          <w:szCs w:val="44"/>
        </w:rPr>
      </w:pPr>
    </w:p>
    <w:p>
      <w:pPr>
        <w:pStyle w:val="16"/>
        <w:overflowPunct w:val="0"/>
        <w:adjustRightInd w:val="0"/>
        <w:snapToGrid w:val="0"/>
        <w:spacing w:line="560" w:lineRule="exact"/>
        <w:ind w:firstLine="0" w:firstLineChars="0"/>
        <w:jc w:val="center"/>
        <w:rPr>
          <w:rFonts w:ascii="Times New Roman" w:eastAsia="方正小标宋简体"/>
          <w:color w:val="auto"/>
          <w:sz w:val="36"/>
          <w:szCs w:val="36"/>
        </w:rPr>
      </w:pPr>
      <w:r>
        <w:rPr>
          <w:rFonts w:ascii="Times New Roman" w:eastAsia="方正小标宋简体"/>
          <w:color w:val="auto"/>
          <w:sz w:val="36"/>
          <w:szCs w:val="36"/>
        </w:rPr>
        <w:t>兖州区“十四五”水利发展主要规划指标</w:t>
      </w:r>
    </w:p>
    <w:p>
      <w:pPr>
        <w:pStyle w:val="8"/>
        <w:spacing w:line="280" w:lineRule="exact"/>
        <w:ind w:firstLine="420"/>
        <w:rPr>
          <w:rFonts w:ascii="Times New Roman" w:hAnsi="Times New Roman" w:cs="Times New Roman"/>
        </w:rPr>
      </w:pPr>
    </w:p>
    <w:tbl>
      <w:tblPr>
        <w:tblStyle w:val="13"/>
        <w:tblW w:w="867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6" w:type="dxa"/>
          <w:bottom w:w="0" w:type="dxa"/>
          <w:right w:w="6" w:type="dxa"/>
        </w:tblCellMar>
      </w:tblPr>
      <w:tblGrid>
        <w:gridCol w:w="810"/>
        <w:gridCol w:w="4278"/>
        <w:gridCol w:w="990"/>
        <w:gridCol w:w="1093"/>
        <w:gridCol w:w="150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6" w:type="dxa"/>
            <w:bottom w:w="0" w:type="dxa"/>
            <w:right w:w="6" w:type="dxa"/>
          </w:tblCellMar>
        </w:tblPrEx>
        <w:trPr>
          <w:trHeight w:val="510" w:hRule="atLeast"/>
          <w:tblHeader/>
          <w:jc w:val="center"/>
        </w:trPr>
        <w:tc>
          <w:tcPr>
            <w:tcW w:w="467" w:type="pct"/>
            <w:noWrap/>
            <w:vAlign w:val="center"/>
          </w:tcPr>
          <w:p>
            <w:pPr>
              <w:pStyle w:val="17"/>
              <w:spacing w:line="480" w:lineRule="exact"/>
              <w:rPr>
                <w:rFonts w:eastAsia="方正黑体简体"/>
                <w:sz w:val="28"/>
                <w:szCs w:val="28"/>
              </w:rPr>
            </w:pPr>
            <w:r>
              <w:rPr>
                <w:rFonts w:eastAsia="方正黑体简体"/>
                <w:sz w:val="28"/>
                <w:szCs w:val="28"/>
              </w:rPr>
              <w:t>序号</w:t>
            </w:r>
          </w:p>
        </w:tc>
        <w:tc>
          <w:tcPr>
            <w:tcW w:w="2466" w:type="pct"/>
            <w:noWrap/>
            <w:vAlign w:val="center"/>
          </w:tcPr>
          <w:p>
            <w:pPr>
              <w:pStyle w:val="17"/>
              <w:spacing w:line="480" w:lineRule="exact"/>
              <w:ind w:firstLine="600"/>
              <w:rPr>
                <w:rFonts w:eastAsia="方正黑体简体"/>
                <w:sz w:val="28"/>
                <w:szCs w:val="28"/>
              </w:rPr>
            </w:pPr>
            <w:r>
              <w:rPr>
                <w:rFonts w:eastAsia="方正黑体简体"/>
                <w:sz w:val="28"/>
                <w:szCs w:val="28"/>
              </w:rPr>
              <w:t>指  标</w:t>
            </w:r>
          </w:p>
        </w:tc>
        <w:tc>
          <w:tcPr>
            <w:tcW w:w="571" w:type="pct"/>
            <w:noWrap/>
            <w:vAlign w:val="center"/>
          </w:tcPr>
          <w:p>
            <w:pPr>
              <w:pStyle w:val="17"/>
              <w:spacing w:line="480" w:lineRule="exact"/>
              <w:rPr>
                <w:rFonts w:eastAsia="方正黑体简体"/>
                <w:sz w:val="28"/>
                <w:szCs w:val="28"/>
              </w:rPr>
            </w:pPr>
            <w:r>
              <w:rPr>
                <w:rFonts w:eastAsia="方正黑体简体"/>
                <w:sz w:val="28"/>
                <w:szCs w:val="28"/>
              </w:rPr>
              <w:t>单位</w:t>
            </w:r>
          </w:p>
        </w:tc>
        <w:tc>
          <w:tcPr>
            <w:tcW w:w="630" w:type="pct"/>
            <w:noWrap/>
            <w:vAlign w:val="center"/>
          </w:tcPr>
          <w:p>
            <w:pPr>
              <w:pStyle w:val="17"/>
              <w:spacing w:line="480" w:lineRule="exact"/>
              <w:rPr>
                <w:rFonts w:eastAsia="方正黑体简体"/>
                <w:sz w:val="28"/>
                <w:szCs w:val="28"/>
              </w:rPr>
            </w:pPr>
            <w:r>
              <w:rPr>
                <w:rFonts w:eastAsia="方正黑体简体"/>
                <w:sz w:val="28"/>
                <w:szCs w:val="28"/>
              </w:rPr>
              <w:t>2020年</w:t>
            </w:r>
          </w:p>
        </w:tc>
        <w:tc>
          <w:tcPr>
            <w:tcW w:w="866" w:type="pct"/>
            <w:noWrap/>
            <w:vAlign w:val="center"/>
          </w:tcPr>
          <w:p>
            <w:pPr>
              <w:pStyle w:val="17"/>
              <w:spacing w:line="480" w:lineRule="exact"/>
              <w:rPr>
                <w:rFonts w:eastAsia="方正黑体简体"/>
                <w:sz w:val="28"/>
                <w:szCs w:val="28"/>
              </w:rPr>
            </w:pPr>
            <w:r>
              <w:rPr>
                <w:rFonts w:eastAsia="方正黑体简体"/>
                <w:sz w:val="28"/>
                <w:szCs w:val="28"/>
              </w:rPr>
              <w:t>2025年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6" w:type="dxa"/>
            <w:bottom w:w="0" w:type="dxa"/>
            <w:right w:w="6" w:type="dxa"/>
          </w:tblCellMar>
        </w:tblPrEx>
        <w:trPr>
          <w:trHeight w:val="510" w:hRule="atLeast"/>
          <w:jc w:val="center"/>
        </w:trPr>
        <w:tc>
          <w:tcPr>
            <w:tcW w:w="467" w:type="pct"/>
            <w:noWrap/>
            <w:vAlign w:val="center"/>
          </w:tcPr>
          <w:p>
            <w:pPr>
              <w:pStyle w:val="17"/>
              <w:spacing w:line="480" w:lineRule="exact"/>
              <w:rPr>
                <w:rFonts w:eastAsia="方正仿宋简体"/>
                <w:sz w:val="28"/>
                <w:szCs w:val="28"/>
              </w:rPr>
            </w:pPr>
            <w:r>
              <w:rPr>
                <w:rFonts w:eastAsia="方正仿宋简体"/>
                <w:sz w:val="28"/>
                <w:szCs w:val="28"/>
              </w:rPr>
              <w:t>1</w:t>
            </w:r>
          </w:p>
        </w:tc>
        <w:tc>
          <w:tcPr>
            <w:tcW w:w="2466" w:type="pct"/>
            <w:noWrap/>
            <w:vAlign w:val="center"/>
          </w:tcPr>
          <w:p>
            <w:pPr>
              <w:pStyle w:val="17"/>
              <w:spacing w:line="480" w:lineRule="exact"/>
              <w:rPr>
                <w:rFonts w:eastAsia="方正仿宋简体"/>
                <w:sz w:val="28"/>
                <w:szCs w:val="28"/>
              </w:rPr>
            </w:pPr>
            <w:r>
              <w:rPr>
                <w:rFonts w:eastAsia="方正仿宋简体"/>
                <w:sz w:val="28"/>
                <w:szCs w:val="28"/>
              </w:rPr>
              <w:t>新增供水能力</w:t>
            </w:r>
          </w:p>
        </w:tc>
        <w:tc>
          <w:tcPr>
            <w:tcW w:w="571" w:type="pct"/>
            <w:noWrap/>
            <w:vAlign w:val="center"/>
          </w:tcPr>
          <w:p>
            <w:pPr>
              <w:pStyle w:val="17"/>
              <w:spacing w:line="480" w:lineRule="exact"/>
              <w:rPr>
                <w:rFonts w:eastAsia="方正仿宋简体"/>
                <w:sz w:val="28"/>
                <w:szCs w:val="28"/>
                <w:vertAlign w:val="superscript"/>
              </w:rPr>
            </w:pPr>
            <w:r>
              <w:rPr>
                <w:rFonts w:eastAsia="方正仿宋简体"/>
                <w:sz w:val="28"/>
                <w:szCs w:val="28"/>
              </w:rPr>
              <w:t>万m</w:t>
            </w:r>
            <w:r>
              <w:rPr>
                <w:rFonts w:eastAsia="方正仿宋简体"/>
                <w:sz w:val="28"/>
                <w:szCs w:val="28"/>
                <w:vertAlign w:val="superscript"/>
              </w:rPr>
              <w:t>3</w:t>
            </w:r>
          </w:p>
        </w:tc>
        <w:tc>
          <w:tcPr>
            <w:tcW w:w="630" w:type="pct"/>
            <w:noWrap/>
            <w:vAlign w:val="center"/>
          </w:tcPr>
          <w:p>
            <w:pPr>
              <w:pStyle w:val="17"/>
              <w:spacing w:line="480" w:lineRule="exact"/>
              <w:rPr>
                <w:rFonts w:eastAsia="方正仿宋简体"/>
                <w:sz w:val="28"/>
                <w:szCs w:val="28"/>
              </w:rPr>
            </w:pPr>
            <w:r>
              <w:rPr>
                <w:rFonts w:eastAsia="方正仿宋简体"/>
                <w:sz w:val="28"/>
                <w:szCs w:val="28"/>
              </w:rPr>
              <w:t>-</w:t>
            </w:r>
          </w:p>
        </w:tc>
        <w:tc>
          <w:tcPr>
            <w:tcW w:w="866" w:type="pct"/>
            <w:noWrap/>
            <w:vAlign w:val="center"/>
          </w:tcPr>
          <w:p>
            <w:pPr>
              <w:pStyle w:val="17"/>
              <w:spacing w:line="480" w:lineRule="exact"/>
              <w:rPr>
                <w:rFonts w:eastAsia="方正仿宋简体"/>
                <w:sz w:val="28"/>
                <w:szCs w:val="28"/>
              </w:rPr>
            </w:pPr>
            <w:r>
              <w:rPr>
                <w:rFonts w:eastAsia="方正仿宋简体"/>
                <w:sz w:val="28"/>
                <w:szCs w:val="28"/>
              </w:rPr>
              <w:t>〔2016〕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6" w:type="dxa"/>
            <w:bottom w:w="0" w:type="dxa"/>
            <w:right w:w="6" w:type="dxa"/>
          </w:tblCellMar>
        </w:tblPrEx>
        <w:trPr>
          <w:trHeight w:val="510" w:hRule="atLeast"/>
          <w:jc w:val="center"/>
        </w:trPr>
        <w:tc>
          <w:tcPr>
            <w:tcW w:w="467" w:type="pct"/>
            <w:noWrap/>
            <w:vAlign w:val="center"/>
          </w:tcPr>
          <w:p>
            <w:pPr>
              <w:pStyle w:val="17"/>
              <w:spacing w:line="480" w:lineRule="exact"/>
              <w:rPr>
                <w:rFonts w:eastAsia="方正仿宋简体"/>
                <w:sz w:val="28"/>
                <w:szCs w:val="28"/>
              </w:rPr>
            </w:pPr>
            <w:r>
              <w:rPr>
                <w:rFonts w:eastAsia="方正仿宋简体"/>
                <w:sz w:val="28"/>
                <w:szCs w:val="28"/>
              </w:rPr>
              <w:t>2</w:t>
            </w:r>
          </w:p>
        </w:tc>
        <w:tc>
          <w:tcPr>
            <w:tcW w:w="2466" w:type="pct"/>
            <w:noWrap/>
            <w:vAlign w:val="center"/>
          </w:tcPr>
          <w:p>
            <w:pPr>
              <w:pStyle w:val="17"/>
              <w:spacing w:line="480" w:lineRule="exact"/>
              <w:rPr>
                <w:rFonts w:eastAsia="方正仿宋简体"/>
                <w:sz w:val="28"/>
                <w:szCs w:val="28"/>
              </w:rPr>
            </w:pPr>
            <w:r>
              <w:rPr>
                <w:rFonts w:eastAsia="方正仿宋简体"/>
                <w:sz w:val="28"/>
                <w:szCs w:val="28"/>
              </w:rPr>
              <w:t>用水总量控制指标</w:t>
            </w:r>
          </w:p>
        </w:tc>
        <w:tc>
          <w:tcPr>
            <w:tcW w:w="571" w:type="pct"/>
            <w:noWrap/>
            <w:vAlign w:val="center"/>
          </w:tcPr>
          <w:p>
            <w:pPr>
              <w:pStyle w:val="17"/>
              <w:spacing w:line="480" w:lineRule="exact"/>
              <w:rPr>
                <w:rFonts w:eastAsia="方正仿宋简体"/>
                <w:sz w:val="28"/>
                <w:szCs w:val="28"/>
              </w:rPr>
            </w:pPr>
            <w:r>
              <w:rPr>
                <w:rFonts w:eastAsia="方正仿宋简体"/>
                <w:sz w:val="28"/>
                <w:szCs w:val="28"/>
              </w:rPr>
              <w:t>万m</w:t>
            </w:r>
            <w:r>
              <w:rPr>
                <w:rFonts w:eastAsia="方正仿宋简体"/>
                <w:sz w:val="28"/>
                <w:szCs w:val="28"/>
                <w:vertAlign w:val="superscript"/>
              </w:rPr>
              <w:t>3</w:t>
            </w:r>
          </w:p>
        </w:tc>
        <w:tc>
          <w:tcPr>
            <w:tcW w:w="630" w:type="pct"/>
            <w:noWrap/>
            <w:vAlign w:val="center"/>
          </w:tcPr>
          <w:p>
            <w:pPr>
              <w:pStyle w:val="17"/>
              <w:spacing w:line="480" w:lineRule="exact"/>
              <w:rPr>
                <w:rFonts w:eastAsia="方正仿宋简体"/>
                <w:sz w:val="28"/>
                <w:szCs w:val="28"/>
              </w:rPr>
            </w:pPr>
            <w:r>
              <w:rPr>
                <w:rFonts w:eastAsia="方正仿宋简体"/>
                <w:sz w:val="28"/>
                <w:szCs w:val="28"/>
              </w:rPr>
              <w:t>17600</w:t>
            </w:r>
          </w:p>
        </w:tc>
        <w:tc>
          <w:tcPr>
            <w:tcW w:w="866" w:type="pct"/>
            <w:noWrap/>
            <w:vAlign w:val="center"/>
          </w:tcPr>
          <w:p>
            <w:pPr>
              <w:pStyle w:val="17"/>
              <w:spacing w:line="480" w:lineRule="exact"/>
              <w:rPr>
                <w:rFonts w:eastAsia="方正仿宋简体"/>
                <w:sz w:val="28"/>
                <w:szCs w:val="28"/>
              </w:rPr>
            </w:pPr>
            <w:r>
              <w:rPr>
                <w:rFonts w:eastAsia="方正仿宋简体"/>
                <w:sz w:val="28"/>
                <w:szCs w:val="28"/>
              </w:rPr>
              <w:t>18600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6" w:type="dxa"/>
            <w:bottom w:w="0" w:type="dxa"/>
            <w:right w:w="6" w:type="dxa"/>
          </w:tblCellMar>
        </w:tblPrEx>
        <w:trPr>
          <w:trHeight w:val="510" w:hRule="atLeast"/>
          <w:jc w:val="center"/>
        </w:trPr>
        <w:tc>
          <w:tcPr>
            <w:tcW w:w="467" w:type="pct"/>
            <w:noWrap/>
            <w:vAlign w:val="center"/>
          </w:tcPr>
          <w:p>
            <w:pPr>
              <w:pStyle w:val="17"/>
              <w:spacing w:line="480" w:lineRule="exact"/>
              <w:rPr>
                <w:rFonts w:eastAsia="方正仿宋简体"/>
                <w:sz w:val="28"/>
                <w:szCs w:val="28"/>
              </w:rPr>
            </w:pPr>
            <w:r>
              <w:rPr>
                <w:rFonts w:eastAsia="方正仿宋简体"/>
                <w:sz w:val="28"/>
                <w:szCs w:val="28"/>
              </w:rPr>
              <w:t>3</w:t>
            </w:r>
          </w:p>
        </w:tc>
        <w:tc>
          <w:tcPr>
            <w:tcW w:w="2466" w:type="pct"/>
            <w:noWrap/>
            <w:vAlign w:val="center"/>
          </w:tcPr>
          <w:p>
            <w:pPr>
              <w:pStyle w:val="17"/>
              <w:spacing w:line="480" w:lineRule="exact"/>
              <w:rPr>
                <w:rFonts w:eastAsia="方正仿宋简体"/>
                <w:sz w:val="28"/>
                <w:szCs w:val="28"/>
              </w:rPr>
            </w:pPr>
            <w:r>
              <w:rPr>
                <w:rFonts w:eastAsia="方正仿宋简体"/>
                <w:sz w:val="28"/>
                <w:szCs w:val="28"/>
              </w:rPr>
              <w:t>万元GDP用水量下降</w:t>
            </w:r>
          </w:p>
        </w:tc>
        <w:tc>
          <w:tcPr>
            <w:tcW w:w="571" w:type="pct"/>
            <w:noWrap/>
            <w:vAlign w:val="center"/>
          </w:tcPr>
          <w:p>
            <w:pPr>
              <w:pStyle w:val="17"/>
              <w:spacing w:line="480" w:lineRule="exact"/>
              <w:rPr>
                <w:rFonts w:eastAsia="方正仿宋简体"/>
                <w:sz w:val="28"/>
                <w:szCs w:val="28"/>
              </w:rPr>
            </w:pPr>
            <w:r>
              <w:rPr>
                <w:rFonts w:eastAsia="方正仿宋简体"/>
                <w:sz w:val="28"/>
                <w:szCs w:val="28"/>
              </w:rPr>
              <w:t>%</w:t>
            </w:r>
          </w:p>
        </w:tc>
        <w:tc>
          <w:tcPr>
            <w:tcW w:w="630" w:type="pct"/>
            <w:noWrap/>
            <w:vAlign w:val="center"/>
          </w:tcPr>
          <w:p>
            <w:pPr>
              <w:pStyle w:val="17"/>
              <w:spacing w:line="480" w:lineRule="exact"/>
              <w:rPr>
                <w:rFonts w:eastAsia="方正仿宋简体"/>
                <w:sz w:val="28"/>
                <w:szCs w:val="28"/>
              </w:rPr>
            </w:pPr>
            <w:r>
              <w:rPr>
                <w:rFonts w:eastAsia="方正仿宋简体"/>
                <w:sz w:val="28"/>
                <w:szCs w:val="28"/>
              </w:rPr>
              <w:t>-</w:t>
            </w:r>
          </w:p>
        </w:tc>
        <w:tc>
          <w:tcPr>
            <w:tcW w:w="866" w:type="pct"/>
            <w:noWrap/>
            <w:vAlign w:val="center"/>
          </w:tcPr>
          <w:p>
            <w:pPr>
              <w:pStyle w:val="17"/>
              <w:spacing w:line="480" w:lineRule="exact"/>
              <w:rPr>
                <w:rFonts w:eastAsia="方正仿宋简体"/>
                <w:sz w:val="28"/>
                <w:szCs w:val="28"/>
              </w:rPr>
            </w:pPr>
            <w:r>
              <w:rPr>
                <w:rFonts w:eastAsia="方正仿宋简体"/>
                <w:sz w:val="28"/>
                <w:szCs w:val="28"/>
              </w:rPr>
              <w:t>〔10〕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6" w:type="dxa"/>
            <w:bottom w:w="0" w:type="dxa"/>
            <w:right w:w="6" w:type="dxa"/>
          </w:tblCellMar>
        </w:tblPrEx>
        <w:trPr>
          <w:trHeight w:val="510" w:hRule="atLeast"/>
          <w:jc w:val="center"/>
        </w:trPr>
        <w:tc>
          <w:tcPr>
            <w:tcW w:w="467" w:type="pct"/>
            <w:noWrap/>
            <w:vAlign w:val="center"/>
          </w:tcPr>
          <w:p>
            <w:pPr>
              <w:pStyle w:val="17"/>
              <w:spacing w:line="480" w:lineRule="exact"/>
              <w:rPr>
                <w:rFonts w:eastAsia="方正仿宋简体"/>
                <w:sz w:val="28"/>
                <w:szCs w:val="28"/>
              </w:rPr>
            </w:pPr>
            <w:r>
              <w:rPr>
                <w:rFonts w:eastAsia="方正仿宋简体"/>
                <w:sz w:val="28"/>
                <w:szCs w:val="28"/>
              </w:rPr>
              <w:t>4</w:t>
            </w:r>
          </w:p>
        </w:tc>
        <w:tc>
          <w:tcPr>
            <w:tcW w:w="2466" w:type="pct"/>
            <w:noWrap/>
            <w:vAlign w:val="center"/>
          </w:tcPr>
          <w:p>
            <w:pPr>
              <w:spacing w:line="480" w:lineRule="exact"/>
              <w:ind w:firstLine="0" w:firstLineChars="0"/>
              <w:jc w:val="center"/>
              <w:rPr>
                <w:rFonts w:ascii="Times New Roman" w:hAnsi="Times New Roman" w:eastAsia="方正仿宋简体" w:cs="Times New Roman"/>
                <w:spacing w:val="-6"/>
                <w:kern w:val="0"/>
                <w:sz w:val="28"/>
                <w:szCs w:val="28"/>
              </w:rPr>
            </w:pPr>
            <w:r>
              <w:rPr>
                <w:rFonts w:ascii="Times New Roman" w:hAnsi="Times New Roman" w:eastAsia="方正仿宋简体" w:cs="Times New Roman"/>
                <w:spacing w:val="-6"/>
                <w:kern w:val="0"/>
                <w:sz w:val="28"/>
                <w:szCs w:val="28"/>
              </w:rPr>
              <w:t>万元工业增加值用水量下降</w:t>
            </w:r>
          </w:p>
        </w:tc>
        <w:tc>
          <w:tcPr>
            <w:tcW w:w="571" w:type="pct"/>
            <w:noWrap/>
            <w:vAlign w:val="center"/>
          </w:tcPr>
          <w:p>
            <w:pPr>
              <w:spacing w:line="480" w:lineRule="exact"/>
              <w:ind w:firstLine="0" w:firstLineChars="0"/>
              <w:jc w:val="center"/>
              <w:rPr>
                <w:rFonts w:ascii="Times New Roman" w:hAnsi="Times New Roman" w:eastAsia="方正仿宋简体" w:cs="Times New Roman"/>
                <w:kern w:val="0"/>
                <w:sz w:val="28"/>
                <w:szCs w:val="28"/>
              </w:rPr>
            </w:pPr>
            <w:r>
              <w:rPr>
                <w:rFonts w:ascii="Times New Roman" w:hAnsi="Times New Roman" w:eastAsia="方正仿宋简体" w:cs="Times New Roman"/>
                <w:sz w:val="28"/>
                <w:szCs w:val="28"/>
              </w:rPr>
              <w:t>%</w:t>
            </w:r>
          </w:p>
        </w:tc>
        <w:tc>
          <w:tcPr>
            <w:tcW w:w="630" w:type="pct"/>
            <w:noWrap/>
            <w:vAlign w:val="center"/>
          </w:tcPr>
          <w:p>
            <w:pPr>
              <w:pStyle w:val="17"/>
              <w:spacing w:line="480" w:lineRule="exact"/>
              <w:rPr>
                <w:rFonts w:eastAsia="方正仿宋简体"/>
                <w:sz w:val="28"/>
                <w:szCs w:val="28"/>
              </w:rPr>
            </w:pPr>
            <w:r>
              <w:rPr>
                <w:rFonts w:eastAsia="方正仿宋简体"/>
                <w:sz w:val="28"/>
                <w:szCs w:val="28"/>
              </w:rPr>
              <w:t>-</w:t>
            </w:r>
          </w:p>
        </w:tc>
        <w:tc>
          <w:tcPr>
            <w:tcW w:w="866" w:type="pct"/>
            <w:noWrap/>
            <w:vAlign w:val="center"/>
          </w:tcPr>
          <w:p>
            <w:pPr>
              <w:pStyle w:val="17"/>
              <w:spacing w:line="480" w:lineRule="exact"/>
              <w:rPr>
                <w:rFonts w:eastAsia="方正仿宋简体"/>
                <w:sz w:val="28"/>
                <w:szCs w:val="28"/>
              </w:rPr>
            </w:pPr>
            <w:r>
              <w:rPr>
                <w:rFonts w:eastAsia="方正仿宋简体"/>
                <w:sz w:val="28"/>
                <w:szCs w:val="28"/>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6" w:type="dxa"/>
            <w:bottom w:w="0" w:type="dxa"/>
            <w:right w:w="6" w:type="dxa"/>
          </w:tblCellMar>
        </w:tblPrEx>
        <w:trPr>
          <w:trHeight w:val="510" w:hRule="atLeast"/>
          <w:jc w:val="center"/>
        </w:trPr>
        <w:tc>
          <w:tcPr>
            <w:tcW w:w="467" w:type="pct"/>
            <w:noWrap/>
            <w:vAlign w:val="center"/>
          </w:tcPr>
          <w:p>
            <w:pPr>
              <w:pStyle w:val="17"/>
              <w:spacing w:line="480" w:lineRule="exact"/>
              <w:rPr>
                <w:rFonts w:eastAsia="方正仿宋简体"/>
                <w:sz w:val="28"/>
                <w:szCs w:val="28"/>
              </w:rPr>
            </w:pPr>
            <w:r>
              <w:rPr>
                <w:rFonts w:eastAsia="方正仿宋简体"/>
                <w:sz w:val="28"/>
                <w:szCs w:val="28"/>
              </w:rPr>
              <w:t>5</w:t>
            </w:r>
          </w:p>
        </w:tc>
        <w:tc>
          <w:tcPr>
            <w:tcW w:w="2466" w:type="pct"/>
            <w:noWrap/>
            <w:vAlign w:val="center"/>
          </w:tcPr>
          <w:p>
            <w:pPr>
              <w:pStyle w:val="17"/>
              <w:spacing w:line="480" w:lineRule="exact"/>
              <w:rPr>
                <w:rFonts w:eastAsia="方正仿宋简体"/>
                <w:sz w:val="28"/>
                <w:szCs w:val="28"/>
              </w:rPr>
            </w:pPr>
            <w:r>
              <w:rPr>
                <w:rFonts w:eastAsia="方正仿宋简体"/>
                <w:sz w:val="28"/>
                <w:szCs w:val="28"/>
              </w:rPr>
              <w:t>农田灌溉水有效利用系数</w:t>
            </w:r>
          </w:p>
        </w:tc>
        <w:tc>
          <w:tcPr>
            <w:tcW w:w="571" w:type="pct"/>
            <w:noWrap/>
            <w:vAlign w:val="center"/>
          </w:tcPr>
          <w:p>
            <w:pPr>
              <w:pStyle w:val="17"/>
              <w:spacing w:line="480" w:lineRule="exact"/>
              <w:rPr>
                <w:rFonts w:eastAsia="方正仿宋简体"/>
                <w:sz w:val="28"/>
                <w:szCs w:val="28"/>
              </w:rPr>
            </w:pPr>
          </w:p>
        </w:tc>
        <w:tc>
          <w:tcPr>
            <w:tcW w:w="630" w:type="pct"/>
            <w:noWrap/>
            <w:vAlign w:val="center"/>
          </w:tcPr>
          <w:p>
            <w:pPr>
              <w:pStyle w:val="17"/>
              <w:spacing w:line="480" w:lineRule="exact"/>
              <w:rPr>
                <w:rFonts w:eastAsia="方正仿宋简体"/>
                <w:sz w:val="28"/>
                <w:szCs w:val="28"/>
              </w:rPr>
            </w:pPr>
            <w:r>
              <w:rPr>
                <w:rFonts w:eastAsia="方正仿宋简体"/>
                <w:sz w:val="28"/>
                <w:szCs w:val="28"/>
              </w:rPr>
              <w:t>0.82</w:t>
            </w:r>
          </w:p>
        </w:tc>
        <w:tc>
          <w:tcPr>
            <w:tcW w:w="866" w:type="pct"/>
            <w:noWrap/>
            <w:vAlign w:val="center"/>
          </w:tcPr>
          <w:p>
            <w:pPr>
              <w:pStyle w:val="17"/>
              <w:spacing w:line="480" w:lineRule="exact"/>
              <w:rPr>
                <w:rFonts w:eastAsia="方正仿宋简体"/>
                <w:sz w:val="28"/>
                <w:szCs w:val="28"/>
              </w:rPr>
            </w:pPr>
            <w:r>
              <w:rPr>
                <w:rFonts w:eastAsia="方正仿宋简体"/>
                <w:sz w:val="28"/>
                <w:szCs w:val="28"/>
              </w:rPr>
              <w:t>〔0.83〕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6" w:type="dxa"/>
            <w:bottom w:w="0" w:type="dxa"/>
            <w:right w:w="6" w:type="dxa"/>
          </w:tblCellMar>
        </w:tblPrEx>
        <w:trPr>
          <w:trHeight w:val="510" w:hRule="atLeast"/>
          <w:jc w:val="center"/>
        </w:trPr>
        <w:tc>
          <w:tcPr>
            <w:tcW w:w="467" w:type="pct"/>
            <w:noWrap/>
            <w:vAlign w:val="center"/>
          </w:tcPr>
          <w:p>
            <w:pPr>
              <w:pStyle w:val="17"/>
              <w:spacing w:line="480" w:lineRule="exact"/>
              <w:rPr>
                <w:rFonts w:eastAsia="方正仿宋简体"/>
                <w:sz w:val="28"/>
                <w:szCs w:val="28"/>
              </w:rPr>
            </w:pPr>
            <w:r>
              <w:rPr>
                <w:rFonts w:eastAsia="方正仿宋简体"/>
                <w:sz w:val="28"/>
                <w:szCs w:val="28"/>
              </w:rPr>
              <w:t>6</w:t>
            </w:r>
          </w:p>
        </w:tc>
        <w:tc>
          <w:tcPr>
            <w:tcW w:w="2466" w:type="pct"/>
            <w:noWrap/>
            <w:vAlign w:val="center"/>
          </w:tcPr>
          <w:p>
            <w:pPr>
              <w:pStyle w:val="17"/>
              <w:spacing w:line="480" w:lineRule="exact"/>
              <w:rPr>
                <w:rFonts w:eastAsia="方正仿宋简体"/>
                <w:sz w:val="28"/>
                <w:szCs w:val="28"/>
              </w:rPr>
            </w:pPr>
            <w:r>
              <w:rPr>
                <w:rFonts w:eastAsia="方正仿宋简体"/>
                <w:sz w:val="28"/>
                <w:szCs w:val="28"/>
              </w:rPr>
              <w:t>供水管网漏损率</w:t>
            </w:r>
          </w:p>
        </w:tc>
        <w:tc>
          <w:tcPr>
            <w:tcW w:w="571" w:type="pct"/>
            <w:noWrap/>
            <w:vAlign w:val="center"/>
          </w:tcPr>
          <w:p>
            <w:pPr>
              <w:pStyle w:val="17"/>
              <w:spacing w:line="480" w:lineRule="exact"/>
              <w:rPr>
                <w:rFonts w:eastAsia="方正仿宋简体"/>
                <w:sz w:val="28"/>
                <w:szCs w:val="28"/>
              </w:rPr>
            </w:pPr>
            <w:r>
              <w:rPr>
                <w:rFonts w:eastAsia="方正仿宋简体"/>
                <w:sz w:val="28"/>
                <w:szCs w:val="28"/>
              </w:rPr>
              <w:t>%</w:t>
            </w:r>
          </w:p>
        </w:tc>
        <w:tc>
          <w:tcPr>
            <w:tcW w:w="630" w:type="pct"/>
            <w:noWrap/>
            <w:vAlign w:val="center"/>
          </w:tcPr>
          <w:p>
            <w:pPr>
              <w:pStyle w:val="17"/>
              <w:spacing w:line="480" w:lineRule="exact"/>
              <w:rPr>
                <w:rFonts w:eastAsia="方正仿宋简体"/>
                <w:sz w:val="28"/>
                <w:szCs w:val="28"/>
              </w:rPr>
            </w:pPr>
            <w:r>
              <w:rPr>
                <w:rFonts w:eastAsia="方正仿宋简体"/>
                <w:sz w:val="28"/>
                <w:szCs w:val="28"/>
              </w:rPr>
              <w:t>&gt;13</w:t>
            </w:r>
          </w:p>
        </w:tc>
        <w:tc>
          <w:tcPr>
            <w:tcW w:w="866" w:type="pct"/>
            <w:noWrap/>
            <w:vAlign w:val="center"/>
          </w:tcPr>
          <w:p>
            <w:pPr>
              <w:pStyle w:val="17"/>
              <w:spacing w:line="480" w:lineRule="exact"/>
              <w:rPr>
                <w:rFonts w:eastAsia="方正仿宋简体"/>
                <w:sz w:val="28"/>
                <w:szCs w:val="28"/>
              </w:rPr>
            </w:pPr>
            <w:r>
              <w:rPr>
                <w:rFonts w:eastAsia="方正仿宋简体"/>
                <w:sz w:val="28"/>
                <w:szCs w:val="28"/>
              </w:rPr>
              <w:t>〔10〕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6" w:type="dxa"/>
            <w:bottom w:w="0" w:type="dxa"/>
            <w:right w:w="6" w:type="dxa"/>
          </w:tblCellMar>
        </w:tblPrEx>
        <w:trPr>
          <w:trHeight w:val="510" w:hRule="atLeast"/>
          <w:jc w:val="center"/>
        </w:trPr>
        <w:tc>
          <w:tcPr>
            <w:tcW w:w="467" w:type="pct"/>
            <w:noWrap/>
            <w:vAlign w:val="center"/>
          </w:tcPr>
          <w:p>
            <w:pPr>
              <w:pStyle w:val="17"/>
              <w:spacing w:line="480" w:lineRule="exact"/>
              <w:rPr>
                <w:rFonts w:eastAsia="方正仿宋简体"/>
                <w:sz w:val="28"/>
                <w:szCs w:val="28"/>
              </w:rPr>
            </w:pPr>
            <w:r>
              <w:rPr>
                <w:rFonts w:eastAsia="方正仿宋简体"/>
                <w:sz w:val="28"/>
                <w:szCs w:val="28"/>
              </w:rPr>
              <w:t>7</w:t>
            </w:r>
          </w:p>
        </w:tc>
        <w:tc>
          <w:tcPr>
            <w:tcW w:w="2466" w:type="pct"/>
            <w:noWrap/>
            <w:vAlign w:val="center"/>
          </w:tcPr>
          <w:p>
            <w:pPr>
              <w:pStyle w:val="17"/>
              <w:spacing w:line="480" w:lineRule="exact"/>
              <w:rPr>
                <w:rFonts w:eastAsia="方正仿宋简体"/>
                <w:sz w:val="28"/>
                <w:szCs w:val="28"/>
              </w:rPr>
            </w:pPr>
            <w:r>
              <w:rPr>
                <w:rFonts w:eastAsia="方正仿宋简体"/>
                <w:sz w:val="28"/>
                <w:szCs w:val="28"/>
              </w:rPr>
              <w:t>城市再生水利用率</w:t>
            </w:r>
          </w:p>
        </w:tc>
        <w:tc>
          <w:tcPr>
            <w:tcW w:w="571" w:type="pct"/>
            <w:noWrap/>
            <w:vAlign w:val="center"/>
          </w:tcPr>
          <w:p>
            <w:pPr>
              <w:pStyle w:val="17"/>
              <w:spacing w:line="480" w:lineRule="exact"/>
              <w:rPr>
                <w:rFonts w:eastAsia="方正仿宋简体"/>
                <w:sz w:val="28"/>
                <w:szCs w:val="28"/>
              </w:rPr>
            </w:pPr>
            <w:r>
              <w:rPr>
                <w:rFonts w:eastAsia="方正仿宋简体"/>
                <w:sz w:val="28"/>
                <w:szCs w:val="28"/>
              </w:rPr>
              <w:t>%</w:t>
            </w:r>
          </w:p>
        </w:tc>
        <w:tc>
          <w:tcPr>
            <w:tcW w:w="630" w:type="pct"/>
            <w:noWrap/>
            <w:vAlign w:val="center"/>
          </w:tcPr>
          <w:p>
            <w:pPr>
              <w:pStyle w:val="17"/>
              <w:spacing w:line="480" w:lineRule="exact"/>
              <w:rPr>
                <w:rFonts w:eastAsia="方正仿宋简体"/>
                <w:sz w:val="28"/>
                <w:szCs w:val="28"/>
              </w:rPr>
            </w:pPr>
            <w:r>
              <w:rPr>
                <w:rFonts w:eastAsia="方正仿宋简体"/>
                <w:sz w:val="28"/>
                <w:szCs w:val="28"/>
              </w:rPr>
              <w:t>45</w:t>
            </w:r>
          </w:p>
        </w:tc>
        <w:tc>
          <w:tcPr>
            <w:tcW w:w="866" w:type="pct"/>
            <w:noWrap/>
            <w:vAlign w:val="center"/>
          </w:tcPr>
          <w:p>
            <w:pPr>
              <w:pStyle w:val="17"/>
              <w:spacing w:line="480" w:lineRule="exact"/>
              <w:rPr>
                <w:rFonts w:eastAsia="方正仿宋简体"/>
                <w:sz w:val="28"/>
                <w:szCs w:val="28"/>
              </w:rPr>
            </w:pPr>
            <w:r>
              <w:rPr>
                <w:rFonts w:eastAsia="方正仿宋简体"/>
                <w:sz w:val="28"/>
                <w:szCs w:val="28"/>
              </w:rPr>
              <w:t>〔55〕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6" w:type="dxa"/>
            <w:bottom w:w="0" w:type="dxa"/>
            <w:right w:w="6" w:type="dxa"/>
          </w:tblCellMar>
        </w:tblPrEx>
        <w:trPr>
          <w:trHeight w:val="510" w:hRule="atLeast"/>
          <w:jc w:val="center"/>
        </w:trPr>
        <w:tc>
          <w:tcPr>
            <w:tcW w:w="467" w:type="pct"/>
            <w:noWrap/>
            <w:vAlign w:val="center"/>
          </w:tcPr>
          <w:p>
            <w:pPr>
              <w:pStyle w:val="17"/>
              <w:spacing w:line="480" w:lineRule="exact"/>
              <w:rPr>
                <w:rFonts w:eastAsia="方正仿宋简体"/>
                <w:sz w:val="28"/>
                <w:szCs w:val="28"/>
              </w:rPr>
            </w:pPr>
            <w:r>
              <w:rPr>
                <w:rFonts w:eastAsia="方正仿宋简体"/>
                <w:sz w:val="28"/>
                <w:szCs w:val="28"/>
              </w:rPr>
              <w:t>8</w:t>
            </w:r>
          </w:p>
        </w:tc>
        <w:tc>
          <w:tcPr>
            <w:tcW w:w="2466" w:type="pct"/>
            <w:noWrap/>
            <w:vAlign w:val="center"/>
          </w:tcPr>
          <w:p>
            <w:pPr>
              <w:pStyle w:val="17"/>
              <w:spacing w:line="480" w:lineRule="exact"/>
              <w:rPr>
                <w:rFonts w:eastAsia="方正仿宋简体"/>
                <w:sz w:val="28"/>
                <w:szCs w:val="28"/>
              </w:rPr>
            </w:pPr>
            <w:r>
              <w:rPr>
                <w:rFonts w:eastAsia="方正仿宋简体"/>
                <w:sz w:val="28"/>
                <w:szCs w:val="28"/>
              </w:rPr>
              <w:t>5级以上堤防达标率</w:t>
            </w:r>
          </w:p>
        </w:tc>
        <w:tc>
          <w:tcPr>
            <w:tcW w:w="571" w:type="pct"/>
            <w:noWrap/>
            <w:vAlign w:val="center"/>
          </w:tcPr>
          <w:p>
            <w:pPr>
              <w:pStyle w:val="17"/>
              <w:spacing w:line="480" w:lineRule="exact"/>
              <w:rPr>
                <w:rFonts w:eastAsia="方正仿宋简体"/>
                <w:sz w:val="28"/>
                <w:szCs w:val="28"/>
              </w:rPr>
            </w:pPr>
            <w:r>
              <w:rPr>
                <w:rFonts w:eastAsia="方正仿宋简体"/>
                <w:sz w:val="28"/>
                <w:szCs w:val="28"/>
              </w:rPr>
              <w:t>%</w:t>
            </w:r>
          </w:p>
        </w:tc>
        <w:tc>
          <w:tcPr>
            <w:tcW w:w="630" w:type="pct"/>
            <w:noWrap/>
            <w:vAlign w:val="center"/>
          </w:tcPr>
          <w:p>
            <w:pPr>
              <w:pStyle w:val="17"/>
              <w:spacing w:line="480" w:lineRule="exact"/>
              <w:rPr>
                <w:rFonts w:eastAsia="方正仿宋简体"/>
                <w:sz w:val="28"/>
                <w:szCs w:val="28"/>
              </w:rPr>
            </w:pPr>
            <w:r>
              <w:rPr>
                <w:rFonts w:eastAsia="方正仿宋简体"/>
                <w:sz w:val="28"/>
                <w:szCs w:val="28"/>
              </w:rPr>
              <w:t>-</w:t>
            </w:r>
          </w:p>
        </w:tc>
        <w:tc>
          <w:tcPr>
            <w:tcW w:w="866" w:type="pct"/>
            <w:noWrap/>
            <w:vAlign w:val="center"/>
          </w:tcPr>
          <w:p>
            <w:pPr>
              <w:pStyle w:val="17"/>
              <w:spacing w:line="480" w:lineRule="exact"/>
              <w:rPr>
                <w:rFonts w:eastAsia="方正仿宋简体"/>
                <w:sz w:val="28"/>
                <w:szCs w:val="28"/>
              </w:rPr>
            </w:pPr>
            <w:r>
              <w:rPr>
                <w:rFonts w:eastAsia="方正仿宋简体"/>
                <w:sz w:val="28"/>
                <w:szCs w:val="28"/>
              </w:rPr>
              <w:t>〔80〕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6" w:type="dxa"/>
            <w:bottom w:w="0" w:type="dxa"/>
            <w:right w:w="6" w:type="dxa"/>
          </w:tblCellMar>
        </w:tblPrEx>
        <w:trPr>
          <w:trHeight w:val="510" w:hRule="atLeast"/>
          <w:jc w:val="center"/>
        </w:trPr>
        <w:tc>
          <w:tcPr>
            <w:tcW w:w="467" w:type="pct"/>
            <w:noWrap/>
            <w:vAlign w:val="center"/>
          </w:tcPr>
          <w:p>
            <w:pPr>
              <w:pStyle w:val="17"/>
              <w:spacing w:line="480" w:lineRule="exact"/>
              <w:rPr>
                <w:rFonts w:eastAsia="方正仿宋简体"/>
                <w:sz w:val="28"/>
                <w:szCs w:val="28"/>
              </w:rPr>
            </w:pPr>
            <w:r>
              <w:rPr>
                <w:rFonts w:eastAsia="方正仿宋简体"/>
                <w:sz w:val="28"/>
                <w:szCs w:val="28"/>
              </w:rPr>
              <w:t>9</w:t>
            </w:r>
          </w:p>
        </w:tc>
        <w:tc>
          <w:tcPr>
            <w:tcW w:w="2466" w:type="pct"/>
            <w:noWrap/>
            <w:vAlign w:val="center"/>
          </w:tcPr>
          <w:p>
            <w:pPr>
              <w:pStyle w:val="17"/>
              <w:spacing w:line="480" w:lineRule="exact"/>
              <w:rPr>
                <w:rFonts w:eastAsia="方正仿宋简体"/>
                <w:sz w:val="28"/>
                <w:szCs w:val="28"/>
              </w:rPr>
            </w:pPr>
            <w:r>
              <w:rPr>
                <w:rFonts w:eastAsia="方正仿宋简体"/>
                <w:sz w:val="28"/>
                <w:szCs w:val="28"/>
              </w:rPr>
              <w:t>水土保持率</w:t>
            </w:r>
          </w:p>
        </w:tc>
        <w:tc>
          <w:tcPr>
            <w:tcW w:w="571" w:type="pct"/>
            <w:noWrap/>
            <w:vAlign w:val="center"/>
          </w:tcPr>
          <w:p>
            <w:pPr>
              <w:pStyle w:val="17"/>
              <w:spacing w:line="480" w:lineRule="exact"/>
              <w:rPr>
                <w:rFonts w:eastAsia="方正仿宋简体"/>
                <w:sz w:val="28"/>
                <w:szCs w:val="28"/>
              </w:rPr>
            </w:pPr>
            <w:r>
              <w:rPr>
                <w:rFonts w:eastAsia="方正仿宋简体"/>
                <w:sz w:val="28"/>
                <w:szCs w:val="28"/>
              </w:rPr>
              <w:t>%</w:t>
            </w:r>
          </w:p>
        </w:tc>
        <w:tc>
          <w:tcPr>
            <w:tcW w:w="630" w:type="pct"/>
            <w:noWrap/>
            <w:vAlign w:val="center"/>
          </w:tcPr>
          <w:p>
            <w:pPr>
              <w:pStyle w:val="17"/>
              <w:spacing w:line="480" w:lineRule="exact"/>
              <w:rPr>
                <w:rFonts w:eastAsia="方正仿宋简体"/>
                <w:sz w:val="28"/>
                <w:szCs w:val="28"/>
              </w:rPr>
            </w:pPr>
            <w:r>
              <w:rPr>
                <w:rFonts w:eastAsia="方正仿宋简体"/>
                <w:sz w:val="28"/>
                <w:szCs w:val="28"/>
              </w:rPr>
              <w:t>80</w:t>
            </w:r>
          </w:p>
        </w:tc>
        <w:tc>
          <w:tcPr>
            <w:tcW w:w="866" w:type="pct"/>
            <w:noWrap/>
            <w:vAlign w:val="center"/>
          </w:tcPr>
          <w:p>
            <w:pPr>
              <w:pStyle w:val="17"/>
              <w:spacing w:line="480" w:lineRule="exact"/>
              <w:rPr>
                <w:rFonts w:eastAsia="方正仿宋简体"/>
                <w:sz w:val="28"/>
                <w:szCs w:val="28"/>
              </w:rPr>
            </w:pPr>
            <w:r>
              <w:rPr>
                <w:rFonts w:eastAsia="方正仿宋简体"/>
                <w:sz w:val="28"/>
                <w:szCs w:val="28"/>
              </w:rPr>
              <w:t>〔95〕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6" w:type="dxa"/>
            <w:bottom w:w="0" w:type="dxa"/>
            <w:right w:w="6" w:type="dxa"/>
          </w:tblCellMar>
        </w:tblPrEx>
        <w:trPr>
          <w:trHeight w:val="510" w:hRule="atLeast"/>
          <w:jc w:val="center"/>
        </w:trPr>
        <w:tc>
          <w:tcPr>
            <w:tcW w:w="467" w:type="pct"/>
            <w:noWrap/>
            <w:vAlign w:val="center"/>
          </w:tcPr>
          <w:p>
            <w:pPr>
              <w:pStyle w:val="17"/>
              <w:spacing w:line="480" w:lineRule="exact"/>
              <w:rPr>
                <w:rFonts w:eastAsia="方正仿宋简体"/>
                <w:sz w:val="28"/>
                <w:szCs w:val="28"/>
              </w:rPr>
            </w:pPr>
            <w:r>
              <w:rPr>
                <w:rFonts w:eastAsia="方正仿宋简体"/>
                <w:sz w:val="28"/>
                <w:szCs w:val="28"/>
              </w:rPr>
              <w:t>10</w:t>
            </w:r>
          </w:p>
        </w:tc>
        <w:tc>
          <w:tcPr>
            <w:tcW w:w="2466" w:type="pct"/>
            <w:noWrap/>
            <w:vAlign w:val="center"/>
          </w:tcPr>
          <w:p>
            <w:pPr>
              <w:pStyle w:val="17"/>
              <w:spacing w:line="480" w:lineRule="exact"/>
              <w:rPr>
                <w:rFonts w:eastAsia="方正仿宋简体"/>
                <w:sz w:val="28"/>
                <w:szCs w:val="28"/>
              </w:rPr>
            </w:pPr>
            <w:r>
              <w:rPr>
                <w:rFonts w:eastAsia="方正仿宋简体"/>
                <w:sz w:val="28"/>
                <w:szCs w:val="28"/>
              </w:rPr>
              <w:t>中型及以上水利工程运行工况和安全在线监测率</w:t>
            </w:r>
          </w:p>
        </w:tc>
        <w:tc>
          <w:tcPr>
            <w:tcW w:w="571" w:type="pct"/>
            <w:noWrap/>
            <w:vAlign w:val="center"/>
          </w:tcPr>
          <w:p>
            <w:pPr>
              <w:pStyle w:val="17"/>
              <w:spacing w:line="480" w:lineRule="exact"/>
              <w:rPr>
                <w:rFonts w:eastAsia="方正仿宋简体"/>
                <w:sz w:val="28"/>
                <w:szCs w:val="28"/>
              </w:rPr>
            </w:pPr>
            <w:r>
              <w:rPr>
                <w:rFonts w:eastAsia="方正仿宋简体"/>
                <w:sz w:val="28"/>
                <w:szCs w:val="28"/>
              </w:rPr>
              <w:t>%</w:t>
            </w:r>
          </w:p>
        </w:tc>
        <w:tc>
          <w:tcPr>
            <w:tcW w:w="630" w:type="pct"/>
            <w:noWrap/>
            <w:vAlign w:val="center"/>
          </w:tcPr>
          <w:p>
            <w:pPr>
              <w:pStyle w:val="17"/>
              <w:spacing w:line="480" w:lineRule="exact"/>
              <w:rPr>
                <w:rFonts w:eastAsia="方正仿宋简体"/>
                <w:sz w:val="28"/>
                <w:szCs w:val="28"/>
              </w:rPr>
            </w:pPr>
            <w:r>
              <w:rPr>
                <w:rFonts w:eastAsia="方正仿宋简体"/>
                <w:sz w:val="28"/>
                <w:szCs w:val="28"/>
              </w:rPr>
              <w:t>-</w:t>
            </w:r>
          </w:p>
        </w:tc>
        <w:tc>
          <w:tcPr>
            <w:tcW w:w="866" w:type="pct"/>
            <w:noWrap/>
            <w:vAlign w:val="center"/>
          </w:tcPr>
          <w:p>
            <w:pPr>
              <w:pStyle w:val="17"/>
              <w:spacing w:line="480" w:lineRule="exact"/>
              <w:rPr>
                <w:rFonts w:eastAsia="方正仿宋简体"/>
                <w:sz w:val="28"/>
                <w:szCs w:val="28"/>
              </w:rPr>
            </w:pPr>
            <w:r>
              <w:rPr>
                <w:rFonts w:eastAsia="方正仿宋简体"/>
                <w:sz w:val="28"/>
                <w:szCs w:val="28"/>
              </w:rPr>
              <w:t>〔92〕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6" w:type="dxa"/>
            <w:bottom w:w="0" w:type="dxa"/>
            <w:right w:w="6" w:type="dxa"/>
          </w:tblCellMar>
        </w:tblPrEx>
        <w:trPr>
          <w:trHeight w:val="510" w:hRule="atLeast"/>
          <w:jc w:val="center"/>
        </w:trPr>
        <w:tc>
          <w:tcPr>
            <w:tcW w:w="467" w:type="pct"/>
            <w:noWrap/>
            <w:vAlign w:val="center"/>
          </w:tcPr>
          <w:p>
            <w:pPr>
              <w:pStyle w:val="17"/>
              <w:spacing w:line="480" w:lineRule="exact"/>
              <w:rPr>
                <w:rFonts w:eastAsia="方正仿宋简体"/>
                <w:sz w:val="28"/>
                <w:szCs w:val="28"/>
              </w:rPr>
            </w:pPr>
            <w:r>
              <w:rPr>
                <w:rFonts w:eastAsia="方正仿宋简体"/>
                <w:sz w:val="28"/>
                <w:szCs w:val="28"/>
              </w:rPr>
              <w:t>11</w:t>
            </w:r>
          </w:p>
        </w:tc>
        <w:tc>
          <w:tcPr>
            <w:tcW w:w="2466" w:type="pct"/>
            <w:noWrap/>
            <w:vAlign w:val="center"/>
          </w:tcPr>
          <w:p>
            <w:pPr>
              <w:pStyle w:val="17"/>
              <w:spacing w:line="480" w:lineRule="exact"/>
              <w:rPr>
                <w:rFonts w:eastAsia="方正仿宋简体"/>
                <w:sz w:val="28"/>
                <w:szCs w:val="28"/>
              </w:rPr>
            </w:pPr>
            <w:r>
              <w:rPr>
                <w:rFonts w:eastAsia="方正仿宋简体"/>
                <w:sz w:val="28"/>
                <w:szCs w:val="28"/>
              </w:rPr>
              <w:t>重点水利工程数字化率</w:t>
            </w:r>
          </w:p>
        </w:tc>
        <w:tc>
          <w:tcPr>
            <w:tcW w:w="571" w:type="pct"/>
            <w:noWrap/>
            <w:vAlign w:val="center"/>
          </w:tcPr>
          <w:p>
            <w:pPr>
              <w:pStyle w:val="17"/>
              <w:spacing w:line="480" w:lineRule="exact"/>
              <w:rPr>
                <w:rFonts w:eastAsia="方正仿宋简体"/>
                <w:sz w:val="28"/>
                <w:szCs w:val="28"/>
              </w:rPr>
            </w:pPr>
            <w:r>
              <w:rPr>
                <w:rFonts w:eastAsia="方正仿宋简体"/>
                <w:sz w:val="28"/>
                <w:szCs w:val="28"/>
              </w:rPr>
              <w:t>%</w:t>
            </w:r>
          </w:p>
        </w:tc>
        <w:tc>
          <w:tcPr>
            <w:tcW w:w="630" w:type="pct"/>
            <w:noWrap/>
            <w:vAlign w:val="center"/>
          </w:tcPr>
          <w:p>
            <w:pPr>
              <w:pStyle w:val="17"/>
              <w:spacing w:line="480" w:lineRule="exact"/>
              <w:rPr>
                <w:rFonts w:eastAsia="方正仿宋简体"/>
                <w:sz w:val="28"/>
                <w:szCs w:val="28"/>
              </w:rPr>
            </w:pPr>
            <w:r>
              <w:rPr>
                <w:rFonts w:eastAsia="方正仿宋简体"/>
                <w:sz w:val="28"/>
                <w:szCs w:val="28"/>
              </w:rPr>
              <w:t>70</w:t>
            </w:r>
          </w:p>
        </w:tc>
        <w:tc>
          <w:tcPr>
            <w:tcW w:w="866" w:type="pct"/>
            <w:noWrap/>
            <w:vAlign w:val="center"/>
          </w:tcPr>
          <w:p>
            <w:pPr>
              <w:pStyle w:val="17"/>
              <w:spacing w:line="480" w:lineRule="exact"/>
              <w:rPr>
                <w:rFonts w:eastAsia="方正仿宋简体"/>
                <w:sz w:val="28"/>
                <w:szCs w:val="28"/>
              </w:rPr>
            </w:pPr>
            <w:r>
              <w:rPr>
                <w:rFonts w:eastAsia="方正仿宋简体"/>
                <w:sz w:val="28"/>
                <w:szCs w:val="28"/>
              </w:rPr>
              <w:t>〔85〕</w:t>
            </w:r>
          </w:p>
        </w:tc>
      </w:tr>
    </w:tbl>
    <w:p>
      <w:pPr>
        <w:pStyle w:val="18"/>
        <w:spacing w:line="520" w:lineRule="exact"/>
        <w:jc w:val="both"/>
        <w:rPr>
          <w:rFonts w:eastAsia="方正仿宋简体"/>
          <w:color w:val="auto"/>
          <w:sz w:val="28"/>
          <w:szCs w:val="28"/>
        </w:rPr>
      </w:pPr>
      <w:r>
        <w:rPr>
          <w:rFonts w:eastAsia="方正仿宋简体"/>
          <w:color w:val="auto"/>
          <w:sz w:val="28"/>
          <w:szCs w:val="28"/>
        </w:rPr>
        <w:t>注：1.指标带〔 〕为期末达到数，其余为累计数。</w:t>
      </w:r>
    </w:p>
    <w:p>
      <w:pPr>
        <w:pStyle w:val="19"/>
        <w:spacing w:line="520" w:lineRule="exact"/>
        <w:ind w:firstLine="580" w:firstLineChars="200"/>
        <w:jc w:val="both"/>
        <w:rPr>
          <w:rFonts w:eastAsia="方正仿宋简体"/>
          <w:sz w:val="28"/>
          <w:szCs w:val="28"/>
        </w:rPr>
      </w:pPr>
      <w:r>
        <w:rPr>
          <w:rFonts w:eastAsia="方正仿宋简体"/>
          <w:sz w:val="28"/>
          <w:szCs w:val="28"/>
        </w:rPr>
        <w:t>2.用水总量控制、万元GDP用水量、万元工业增加值用水量、农田灌溉水有效利用系数、水土保持率等指标为暂定指标，最终以省、市批准下达目标为准。</w:t>
      </w:r>
    </w:p>
    <w:p>
      <w:pPr>
        <w:pStyle w:val="19"/>
        <w:spacing w:line="520" w:lineRule="exact"/>
        <w:ind w:firstLine="580" w:firstLineChars="200"/>
        <w:jc w:val="both"/>
        <w:rPr>
          <w:rFonts w:eastAsia="方正仿宋简体"/>
          <w:sz w:val="28"/>
          <w:szCs w:val="28"/>
        </w:rPr>
      </w:pPr>
      <w:r>
        <w:rPr>
          <w:rFonts w:eastAsia="方正仿宋简体"/>
          <w:sz w:val="28"/>
          <w:szCs w:val="28"/>
        </w:rPr>
        <w:t>3.新增供水能力是指新增的当地地表水及外调水供水能力。</w:t>
      </w:r>
    </w:p>
    <w:p>
      <w:pPr>
        <w:pStyle w:val="19"/>
        <w:spacing w:line="520" w:lineRule="exact"/>
        <w:ind w:firstLine="580" w:firstLineChars="200"/>
        <w:jc w:val="both"/>
        <w:rPr>
          <w:rFonts w:eastAsia="方正仿宋简体"/>
          <w:sz w:val="28"/>
          <w:szCs w:val="28"/>
        </w:rPr>
      </w:pPr>
      <w:r>
        <w:rPr>
          <w:rFonts w:eastAsia="方正仿宋简体"/>
          <w:sz w:val="28"/>
          <w:szCs w:val="28"/>
        </w:rPr>
        <w:t>4.堤防达标率是指5级及以上堤防长度中达标堤防长度占比。</w:t>
      </w:r>
    </w:p>
    <w:p>
      <w:pPr>
        <w:pStyle w:val="19"/>
        <w:spacing w:line="520" w:lineRule="exact"/>
        <w:ind w:firstLine="580" w:firstLineChars="200"/>
        <w:jc w:val="both"/>
        <w:rPr>
          <w:rFonts w:eastAsia="方正仿宋简体"/>
          <w:bCs/>
          <w:kern w:val="0"/>
          <w:sz w:val="28"/>
          <w:szCs w:val="28"/>
        </w:rPr>
      </w:pPr>
      <w:r>
        <w:rPr>
          <w:rFonts w:eastAsia="方正仿宋简体"/>
          <w:sz w:val="28"/>
          <w:szCs w:val="28"/>
        </w:rPr>
        <w:t>5.</w:t>
      </w:r>
      <w:r>
        <w:rPr>
          <w:rFonts w:eastAsia="方正仿宋简体"/>
          <w:spacing w:val="0"/>
          <w:sz w:val="28"/>
          <w:szCs w:val="28"/>
        </w:rPr>
        <w:t>重点水利工程数字化率是指重大引调水工程、大中小型水库、流域面积200平方公里以上中小河流等重点水利工程实现数字化的比例。</w:t>
      </w:r>
    </w:p>
    <w:p>
      <w:pPr>
        <w:pStyle w:val="7"/>
        <w:overflowPunct w:val="0"/>
        <w:spacing w:beforeAutospacing="0" w:afterAutospacing="0" w:line="560" w:lineRule="exact"/>
        <w:ind w:firstLine="640"/>
        <w:jc w:val="both"/>
        <w:rPr>
          <w:rFonts w:ascii="Times New Roman" w:hAnsi="Times New Roman" w:eastAsia="方正楷体简体"/>
          <w:b w:val="0"/>
          <w:kern w:val="2"/>
          <w:sz w:val="32"/>
          <w:szCs w:val="32"/>
        </w:rPr>
      </w:pPr>
      <w:bookmarkStart w:id="24" w:name="_Toc8138"/>
      <w:bookmarkStart w:id="25" w:name="_Toc112233678"/>
      <w:bookmarkStart w:id="26" w:name="_Toc72324218"/>
      <w:r>
        <w:rPr>
          <w:rFonts w:ascii="Times New Roman" w:hAnsi="Times New Roman" w:eastAsia="方正楷体简体"/>
          <w:b w:val="0"/>
          <w:sz w:val="32"/>
          <w:szCs w:val="32"/>
        </w:rPr>
        <w:t>（五）总体布局</w:t>
      </w:r>
      <w:bookmarkEnd w:id="24"/>
      <w:bookmarkEnd w:id="25"/>
      <w:bookmarkEnd w:id="26"/>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以南水北调东线干线、省、市级水网为依托，加快河道治理、病险水闸除险加固建设，全面提升洪涝灾害风险防范能力；加快重点水源、重大引调水工程建设，构建完善多源互补、丰枯调剂、大中小微协调配套的兖州水网，整体优化全区水资源配置格局；加强重点流域水生态保护与修复，实施地下水超采区综合治理，推进水土保持生态建设，打造人民满意的美丽幸福河湖；推进智慧水利建设，增强水利信息感知、分析、处理和智慧应用能力，提升水治理能力现代化水平；深化管理体制改革，保障工程建设与体制建设双向发力，构建以供水安全、防洪安全、生态安全为核心的水安全保障体系，为建设新时代现代化强区提供可靠的水资源支撑和保障。</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lang w:val="en-US"/>
        </w:rPr>
        <w:t>围绕上述总体布局，在完善水利基础设施方面，重点补齐防洪除涝、水资源保障、水生态治理和水利信息化4项短板，在建立现代水利管理体系方面，重点开展</w:t>
      </w:r>
      <w:r>
        <w:rPr>
          <w:rFonts w:ascii="Times New Roman" w:eastAsia="方正仿宋简体"/>
          <w:color w:val="auto"/>
          <w:sz w:val="32"/>
          <w:szCs w:val="32"/>
        </w:rPr>
        <w:t>推进水利法制建设、提升水利管理能力、提升水安全风险防控能力、强化水行政执法能力</w:t>
      </w:r>
      <w:r>
        <w:rPr>
          <w:rFonts w:ascii="Times New Roman" w:eastAsia="方正仿宋简体"/>
          <w:color w:val="auto"/>
          <w:sz w:val="32"/>
          <w:szCs w:val="32"/>
          <w:lang w:val="en-US"/>
        </w:rPr>
        <w:t>和</w:t>
      </w:r>
      <w:r>
        <w:rPr>
          <w:rFonts w:ascii="Times New Roman" w:eastAsia="方正仿宋简体"/>
          <w:color w:val="auto"/>
          <w:sz w:val="32"/>
          <w:szCs w:val="32"/>
        </w:rPr>
        <w:t>加强水利人才队伍建设等</w:t>
      </w:r>
      <w:r>
        <w:rPr>
          <w:rFonts w:ascii="Times New Roman" w:eastAsia="方正仿宋简体"/>
          <w:color w:val="auto"/>
          <w:sz w:val="32"/>
          <w:szCs w:val="32"/>
          <w:lang w:val="en-US"/>
        </w:rPr>
        <w:t>5项管理措施；在提升内生动力方面，重点实施</w:t>
      </w:r>
      <w:r>
        <w:rPr>
          <w:rFonts w:ascii="Times New Roman" w:eastAsia="方正仿宋简体"/>
          <w:color w:val="auto"/>
          <w:sz w:val="32"/>
          <w:szCs w:val="32"/>
        </w:rPr>
        <w:t>深化水管体制机制改革、深化水资源税改革、深化水权制度改革、推进投融资机制改革、深化水利“放管服”、完善人才培养引进机制等</w:t>
      </w:r>
      <w:r>
        <w:rPr>
          <w:rFonts w:ascii="Times New Roman" w:eastAsia="方正仿宋简体"/>
          <w:color w:val="auto"/>
          <w:sz w:val="32"/>
          <w:szCs w:val="32"/>
          <w:lang w:val="en-US"/>
        </w:rPr>
        <w:t>6项改革与创新措施</w:t>
      </w:r>
      <w:r>
        <w:rPr>
          <w:rFonts w:ascii="Times New Roman" w:eastAsia="方正仿宋简体"/>
          <w:color w:val="auto"/>
          <w:sz w:val="32"/>
          <w:szCs w:val="32"/>
        </w:rPr>
        <w:t>。</w:t>
      </w:r>
    </w:p>
    <w:p>
      <w:pPr>
        <w:pStyle w:val="6"/>
        <w:keepNext w:val="0"/>
        <w:keepLines w:val="0"/>
        <w:overflowPunct w:val="0"/>
        <w:spacing w:before="0" w:after="0" w:line="560" w:lineRule="exact"/>
        <w:ind w:firstLine="640"/>
        <w:rPr>
          <w:rFonts w:ascii="Times New Roman" w:hAnsi="Times New Roman" w:eastAsia="方正黑体简体" w:cs="Times New Roman"/>
          <w:kern w:val="0"/>
          <w:szCs w:val="32"/>
        </w:rPr>
      </w:pPr>
      <w:bookmarkStart w:id="27" w:name="_Toc112233679"/>
      <w:r>
        <w:rPr>
          <w:rFonts w:ascii="Times New Roman" w:hAnsi="Times New Roman" w:eastAsia="方正黑体简体" w:cs="Times New Roman"/>
          <w:kern w:val="0"/>
          <w:szCs w:val="32"/>
        </w:rPr>
        <w:t>三、提升水利设施保障能力</w:t>
      </w:r>
      <w:bookmarkEnd w:id="27"/>
    </w:p>
    <w:p>
      <w:pPr>
        <w:pStyle w:val="7"/>
        <w:overflowPunct w:val="0"/>
        <w:spacing w:beforeAutospacing="0" w:afterAutospacing="0" w:line="560" w:lineRule="exact"/>
        <w:ind w:firstLine="640"/>
        <w:jc w:val="both"/>
        <w:rPr>
          <w:rFonts w:ascii="Times New Roman" w:hAnsi="Times New Roman" w:eastAsia="方正楷体简体"/>
          <w:b w:val="0"/>
          <w:sz w:val="32"/>
          <w:szCs w:val="32"/>
          <w:lang w:val="zh-CN"/>
        </w:rPr>
      </w:pPr>
      <w:bookmarkStart w:id="28" w:name="_Toc112233680"/>
      <w:r>
        <w:rPr>
          <w:rFonts w:ascii="Times New Roman" w:hAnsi="Times New Roman" w:eastAsia="方正楷体简体"/>
          <w:b w:val="0"/>
          <w:sz w:val="32"/>
          <w:szCs w:val="32"/>
        </w:rPr>
        <w:t>（一）“消隐患、强弱项”提升防洪除涝能力</w:t>
      </w:r>
      <w:bookmarkEnd w:id="28"/>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lang w:val="en-US"/>
        </w:rPr>
        <w:t>按照“上拦、中疏、下排”的原则，解决区域洪水及涝水出路，建立风险隐患排查和安全鉴定机制，重点实施河道治理、闸坝除险加固、完善预警、预报、预演、预案能力，建立</w:t>
      </w:r>
      <w:r>
        <w:rPr>
          <w:rFonts w:ascii="Times New Roman" w:eastAsia="方正仿宋简体"/>
          <w:color w:val="auto"/>
          <w:sz w:val="32"/>
          <w:szCs w:val="32"/>
        </w:rPr>
        <w:t>兖州区水旱灾害防治体系，提升水旱灾害防治能力，保障人民群众生命财产安全。</w:t>
      </w:r>
    </w:p>
    <w:p>
      <w:pPr>
        <w:pStyle w:val="16"/>
        <w:overflowPunct w:val="0"/>
        <w:adjustRightInd w:val="0"/>
        <w:snapToGrid w:val="0"/>
        <w:spacing w:line="560" w:lineRule="exact"/>
        <w:ind w:firstLine="640"/>
        <w:rPr>
          <w:rFonts w:ascii="Times New Roman" w:eastAsia="方正楷体简体"/>
          <w:color w:val="auto"/>
          <w:sz w:val="32"/>
          <w:szCs w:val="32"/>
        </w:rPr>
      </w:pPr>
      <w:bookmarkStart w:id="29" w:name="_Hlk61517353"/>
      <w:r>
        <w:rPr>
          <w:rFonts w:ascii="Times New Roman" w:eastAsia="方正楷体简体"/>
          <w:color w:val="auto"/>
          <w:sz w:val="32"/>
          <w:szCs w:val="32"/>
        </w:rPr>
        <w:t>1、</w:t>
      </w:r>
      <w:bookmarkEnd w:id="29"/>
      <w:r>
        <w:rPr>
          <w:rFonts w:ascii="Times New Roman" w:eastAsia="方正楷体简体"/>
          <w:color w:val="auto"/>
          <w:sz w:val="32"/>
          <w:szCs w:val="32"/>
        </w:rPr>
        <w:t>河道治理</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（1）</w:t>
      </w:r>
      <w:r>
        <w:rPr>
          <w:rFonts w:ascii="Times New Roman"/>
          <w:color w:val="auto"/>
          <w:sz w:val="32"/>
          <w:szCs w:val="32"/>
        </w:rPr>
        <w:t>洸</w:t>
      </w:r>
      <w:r>
        <w:rPr>
          <w:rFonts w:ascii="Times New Roman" w:eastAsia="方正仿宋简体"/>
          <w:color w:val="auto"/>
          <w:sz w:val="32"/>
          <w:szCs w:val="32"/>
        </w:rPr>
        <w:t>府河干支流治理工程</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对</w:t>
      </w:r>
      <w:r>
        <w:rPr>
          <w:rFonts w:ascii="Times New Roman"/>
          <w:color w:val="auto"/>
          <w:sz w:val="32"/>
          <w:szCs w:val="32"/>
        </w:rPr>
        <w:t>洸</w:t>
      </w:r>
      <w:r>
        <w:rPr>
          <w:rFonts w:ascii="Times New Roman" w:eastAsia="方正仿宋简体"/>
          <w:color w:val="auto"/>
          <w:sz w:val="32"/>
          <w:szCs w:val="32"/>
        </w:rPr>
        <w:t>府河干流及支流</w:t>
      </w:r>
      <w:r>
        <w:rPr>
          <w:rFonts w:ascii="Times New Roman"/>
          <w:color w:val="auto"/>
          <w:sz w:val="32"/>
          <w:szCs w:val="32"/>
        </w:rPr>
        <w:t>洸</w:t>
      </w:r>
      <w:r>
        <w:rPr>
          <w:rFonts w:ascii="Times New Roman" w:eastAsia="方正仿宋简体"/>
          <w:color w:val="auto"/>
          <w:sz w:val="32"/>
          <w:szCs w:val="32"/>
        </w:rPr>
        <w:t>河按防洪标准50年一遇、</w:t>
      </w:r>
      <w:r>
        <w:rPr>
          <w:rFonts w:ascii="Times New Roman" w:eastAsia="方正仿宋简体"/>
          <w:color w:val="auto"/>
          <w:sz w:val="32"/>
          <w:szCs w:val="32"/>
          <w:lang w:val="en-US"/>
        </w:rPr>
        <w:t>汉马河按20年一遇</w:t>
      </w:r>
      <w:r>
        <w:rPr>
          <w:rFonts w:ascii="Times New Roman" w:eastAsia="方正仿宋简体"/>
          <w:color w:val="auto"/>
          <w:sz w:val="32"/>
          <w:szCs w:val="32"/>
        </w:rPr>
        <w:t>进行河道疏挖及堤防加固，并整治沿线建筑物，治理总长度38.6km。拟于2023年前完成建设，工程投资匡算6.97亿元。</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（2）泗沂三角地带治理工程</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规划实施泗沂三角地带治理工程，“十四五”期间做好工程的可行性论证等前期工作。</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（3）中小型河道治理工程</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对小泥河、罗河、宁阳沟、中源沟、大安沟、朝阳河、黄狼沟小孟段等骨干排涝河道以及小孟沟、顿村沟、唐营沟等19条农村排涝支沟进行全面治理，排涝标准至</w:t>
      </w:r>
      <w:r>
        <w:rPr>
          <w:rFonts w:ascii="Times New Roman" w:eastAsia="方正仿宋简体"/>
          <w:color w:val="auto"/>
          <w:sz w:val="32"/>
          <w:szCs w:val="32"/>
          <w:lang w:val="en-US"/>
        </w:rPr>
        <w:t>5</w:t>
      </w:r>
      <w:r>
        <w:rPr>
          <w:rFonts w:ascii="Times New Roman" w:eastAsia="方正仿宋简体"/>
          <w:color w:val="auto"/>
          <w:sz w:val="32"/>
          <w:szCs w:val="32"/>
        </w:rPr>
        <w:t>年一遇。工程内容包括河道疏挖，岸坡整治，堤防维修加固，改建维修河道节制闸、引排水涵洞。为缓解城区汛期排水压力，于滋阳路规划开挖一条谭村河至大安河的泄洪河道，收集周边片区雨水，引流谭村河泄洪出城，提升泄洪能力，完善城区排水体系。拟于2025年前完成建设，工程投资匡算2.3亿元。</w:t>
      </w:r>
    </w:p>
    <w:p>
      <w:pPr>
        <w:pStyle w:val="16"/>
        <w:overflowPunct w:val="0"/>
        <w:adjustRightInd w:val="0"/>
        <w:snapToGrid w:val="0"/>
        <w:spacing w:line="560" w:lineRule="exact"/>
        <w:ind w:firstLine="640"/>
        <w:rPr>
          <w:rFonts w:ascii="Times New Roman" w:eastAsia="方正楷体简体"/>
          <w:color w:val="auto"/>
          <w:sz w:val="32"/>
          <w:szCs w:val="32"/>
        </w:rPr>
      </w:pPr>
      <w:r>
        <w:rPr>
          <w:rFonts w:ascii="Times New Roman" w:eastAsia="方正楷体简体"/>
          <w:color w:val="auto"/>
          <w:sz w:val="32"/>
          <w:szCs w:val="32"/>
        </w:rPr>
        <w:t>2、病险闸坝等建筑物除险加固及维修</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实施泗河滋阳橡胶坝、城东橡胶坝、城南橡胶坝，杨家河玄帝庙橡胶坝坝袋更换以及相关控制设备维修更新；对兖州区东垛闸等10座病险水闸进行除险加固，消除工程安全隐患；对5座引水闸、44座生产桥进行改建，提高3万亩农田生产用水保障。拟于2025年完成建设，工程投资匡算1.55亿元。</w:t>
      </w:r>
    </w:p>
    <w:p>
      <w:pPr>
        <w:pStyle w:val="16"/>
        <w:overflowPunct w:val="0"/>
        <w:adjustRightInd w:val="0"/>
        <w:snapToGrid w:val="0"/>
        <w:spacing w:line="560" w:lineRule="exact"/>
        <w:ind w:firstLine="640"/>
        <w:rPr>
          <w:rFonts w:ascii="Times New Roman" w:eastAsia="方正楷体简体"/>
          <w:color w:val="auto"/>
          <w:sz w:val="32"/>
          <w:szCs w:val="32"/>
        </w:rPr>
      </w:pPr>
      <w:r>
        <w:rPr>
          <w:rFonts w:ascii="Times New Roman" w:eastAsia="方正楷体简体"/>
          <w:color w:val="auto"/>
          <w:sz w:val="32"/>
          <w:szCs w:val="32"/>
        </w:rPr>
        <w:t>3、新建水旱灾害防御物资储备库</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按照山东省人民政府办公厅《关于印发山东省应急物资储备体系建设规划的通知》的要求，结合兖州区实际，在原水旱灾害防御物资储备库的基础上，增建仓储面积1000m</w:t>
      </w:r>
      <w:r>
        <w:rPr>
          <w:rFonts w:ascii="Times New Roman" w:eastAsia="方正仿宋简体"/>
          <w:color w:val="auto"/>
          <w:sz w:val="32"/>
          <w:szCs w:val="32"/>
          <w:vertAlign w:val="superscript"/>
        </w:rPr>
        <w:t>2</w:t>
      </w:r>
      <w:r>
        <w:rPr>
          <w:rFonts w:ascii="Times New Roman" w:eastAsia="方正仿宋简体"/>
          <w:color w:val="auto"/>
          <w:sz w:val="32"/>
          <w:szCs w:val="32"/>
        </w:rPr>
        <w:t>。提升水旱灾害防御物资储备能力满足泗河、</w:t>
      </w:r>
      <w:r>
        <w:rPr>
          <w:rFonts w:ascii="Times New Roman"/>
          <w:color w:val="auto"/>
          <w:sz w:val="32"/>
          <w:szCs w:val="32"/>
        </w:rPr>
        <w:t>洸</w:t>
      </w:r>
      <w:r>
        <w:rPr>
          <w:rFonts w:ascii="Times New Roman" w:eastAsia="方正仿宋简体"/>
          <w:color w:val="auto"/>
          <w:sz w:val="32"/>
          <w:szCs w:val="32"/>
        </w:rPr>
        <w:t>府河等全区河道防洪、排涝标准的要求，为全区的水旱灾害防御提供安全可靠的物资保障。拟于2025年实施完成，工程投资匡算0.08亿元。</w:t>
      </w:r>
    </w:p>
    <w:p>
      <w:pPr>
        <w:pStyle w:val="16"/>
        <w:overflowPunct w:val="0"/>
        <w:adjustRightInd w:val="0"/>
        <w:snapToGrid w:val="0"/>
        <w:spacing w:line="560" w:lineRule="exact"/>
        <w:ind w:firstLine="640"/>
        <w:rPr>
          <w:rFonts w:ascii="Times New Roman" w:eastAsia="方正楷体简体"/>
          <w:color w:val="auto"/>
          <w:sz w:val="32"/>
          <w:szCs w:val="32"/>
        </w:rPr>
      </w:pPr>
      <w:r>
        <w:rPr>
          <w:rFonts w:ascii="Times New Roman" w:eastAsia="方正楷体简体"/>
          <w:color w:val="auto"/>
          <w:sz w:val="32"/>
          <w:szCs w:val="32"/>
        </w:rPr>
        <w:t>4、农田排涝配套体系建设</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与高标准农田田间排涝渠系衔接，打通田间积水由渠进沟入河最后一公里，确保实现“水入渠、渠入沟、沟入河、河入湖、村庄不进水、庄稼不受淹”。</w:t>
      </w:r>
    </w:p>
    <w:tbl>
      <w:tblPr>
        <w:tblStyle w:val="1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89" w:type="dxa"/>
            <w:tcBorders>
              <w:top w:val="single" w:color="auto" w:sz="4" w:space="0"/>
              <w:left w:val="single" w:color="auto" w:sz="4" w:space="0"/>
              <w:bottom w:val="single" w:color="auto" w:sz="4" w:space="0"/>
              <w:right w:val="single" w:color="auto" w:sz="4" w:space="0"/>
            </w:tcBorders>
            <w:noWrap/>
            <w:vAlign w:val="center"/>
          </w:tcPr>
          <w:p>
            <w:pPr>
              <w:pStyle w:val="16"/>
              <w:spacing w:line="500" w:lineRule="exact"/>
              <w:ind w:firstLine="0" w:firstLineChars="0"/>
              <w:jc w:val="center"/>
              <w:rPr>
                <w:rFonts w:ascii="Times New Roman" w:eastAsia="方正仿宋简体"/>
                <w:color w:val="auto"/>
              </w:rPr>
            </w:pPr>
            <w:r>
              <w:rPr>
                <w:rFonts w:ascii="Times New Roman" w:eastAsia="方正仿宋简体"/>
                <w:bCs w:val="0"/>
                <w:color w:val="auto"/>
              </w:rPr>
              <w:t>专栏1  防洪除涝重点工程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789" w:type="dxa"/>
            <w:tcBorders>
              <w:top w:val="single" w:color="auto" w:sz="4" w:space="0"/>
              <w:left w:val="single" w:color="auto" w:sz="4" w:space="0"/>
              <w:bottom w:val="single" w:color="auto" w:sz="4" w:space="0"/>
              <w:right w:val="single" w:color="auto" w:sz="4" w:space="0"/>
            </w:tcBorders>
            <w:noWrap/>
            <w:vAlign w:val="center"/>
          </w:tcPr>
          <w:p>
            <w:pPr>
              <w:pStyle w:val="16"/>
              <w:spacing w:line="500" w:lineRule="exact"/>
              <w:ind w:firstLine="560"/>
              <w:rPr>
                <w:rFonts w:ascii="Times New Roman" w:eastAsia="方正仿宋简体"/>
                <w:color w:val="auto"/>
                <w:sz w:val="28"/>
                <w:szCs w:val="28"/>
                <w:lang w:val="en-US"/>
              </w:rPr>
            </w:pPr>
            <w:r>
              <w:rPr>
                <w:rFonts w:ascii="Times New Roman"/>
                <w:color w:val="auto"/>
                <w:sz w:val="28"/>
                <w:szCs w:val="28"/>
              </w:rPr>
              <w:t>洸</w:t>
            </w:r>
            <w:r>
              <w:rPr>
                <w:rFonts w:ascii="Times New Roman" w:eastAsia="方正仿宋简体"/>
                <w:color w:val="auto"/>
                <w:sz w:val="28"/>
                <w:szCs w:val="28"/>
              </w:rPr>
              <w:t>府河干支流治理工程</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对</w:t>
            </w:r>
            <w:r>
              <w:rPr>
                <w:rFonts w:ascii="Times New Roman"/>
                <w:color w:val="auto"/>
                <w:sz w:val="28"/>
                <w:szCs w:val="28"/>
              </w:rPr>
              <w:t>洸</w:t>
            </w:r>
            <w:r>
              <w:rPr>
                <w:rFonts w:ascii="Times New Roman" w:eastAsia="方正仿宋简体"/>
                <w:color w:val="auto"/>
                <w:sz w:val="28"/>
                <w:szCs w:val="28"/>
              </w:rPr>
              <w:t>府河干流及支流</w:t>
            </w:r>
            <w:r>
              <w:rPr>
                <w:rFonts w:ascii="Times New Roman"/>
                <w:color w:val="auto"/>
                <w:sz w:val="28"/>
                <w:szCs w:val="28"/>
              </w:rPr>
              <w:t>洸</w:t>
            </w:r>
            <w:r>
              <w:rPr>
                <w:rFonts w:ascii="Times New Roman" w:eastAsia="方正仿宋简体"/>
                <w:color w:val="auto"/>
                <w:sz w:val="28"/>
                <w:szCs w:val="28"/>
              </w:rPr>
              <w:t>河按防洪标准50年一遇、</w:t>
            </w:r>
            <w:r>
              <w:rPr>
                <w:rFonts w:ascii="Times New Roman" w:eastAsia="方正仿宋简体"/>
                <w:color w:val="auto"/>
                <w:sz w:val="28"/>
                <w:szCs w:val="28"/>
                <w:lang w:val="en-US"/>
              </w:rPr>
              <w:t>汉马河按20年一遇</w:t>
            </w:r>
            <w:r>
              <w:rPr>
                <w:rFonts w:ascii="Times New Roman" w:eastAsia="方正仿宋简体"/>
                <w:color w:val="auto"/>
                <w:sz w:val="28"/>
                <w:szCs w:val="28"/>
              </w:rPr>
              <w:t>进行河道疏挖及堤防加固，并整治沿线建筑物。</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泗沂三角地带治理工程</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规划实施泗沂三角地带治理工程，“十四五”期间做好工程的可行性论证等前期工作。</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中小型河道治理工程</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对小泥河、罗河、宁阳沟、中源沟、大安沟、朝阳河、黄狼沟等骨干排涝河道以及小孟沟、顿村沟、唐营沟等19条农村排涝支沟进行全面治理，排涝标准至5年一遇。于滋阳路规划开挖一条谭村河至大安河的泄洪河道，收集周边片区雨水，提升泄洪能力，完善城区排水体系</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病险闸坝等建筑物除险加固及维修</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实施泗河滋阳橡胶坝等4座橡胶坝坝袋更换以及相关控制设备维修更新；对兖州区东垛闸等10座病险水闸进行除险加固；对5座引水闸、44座生产桥进行改建，提高3万亩农田生产用水保障。</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新建水旱灾害防御物资储备库</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按照山东省人民政府办公厅《关于印发山东省应急物资储备体系建设规划的通知》的要求，结合兖州区实际，在原水旱灾害防御物资储备库的基础上，增建仓储面积1000m</w:t>
            </w:r>
            <w:r>
              <w:rPr>
                <w:rFonts w:ascii="Times New Roman" w:eastAsia="方正仿宋简体"/>
                <w:color w:val="auto"/>
                <w:sz w:val="28"/>
                <w:szCs w:val="28"/>
                <w:vertAlign w:val="superscript"/>
              </w:rPr>
              <w:t>2</w:t>
            </w:r>
            <w:r>
              <w:rPr>
                <w:rFonts w:ascii="Times New Roman" w:eastAsia="方正仿宋简体"/>
                <w:color w:val="auto"/>
                <w:sz w:val="28"/>
                <w:szCs w:val="28"/>
              </w:rPr>
              <w:t>。</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农田排涝配套体系建设</w:t>
            </w:r>
          </w:p>
          <w:p>
            <w:pPr>
              <w:pStyle w:val="16"/>
              <w:spacing w:line="500" w:lineRule="exact"/>
              <w:ind w:firstLine="560"/>
              <w:rPr>
                <w:rFonts w:ascii="Times New Roman" w:eastAsia="方正仿宋简体"/>
                <w:color w:val="auto"/>
              </w:rPr>
            </w:pPr>
            <w:r>
              <w:rPr>
                <w:rFonts w:ascii="Times New Roman" w:eastAsia="方正仿宋简体"/>
                <w:color w:val="auto"/>
                <w:sz w:val="28"/>
                <w:szCs w:val="28"/>
              </w:rPr>
              <w:t>与高标准农田田间排涝渠系衔接，打通田间积水由渠进沟入河最后一公里。</w:t>
            </w:r>
          </w:p>
        </w:tc>
      </w:tr>
    </w:tbl>
    <w:p>
      <w:pPr>
        <w:pStyle w:val="7"/>
        <w:spacing w:beforeAutospacing="0" w:afterAutospacing="0" w:line="560" w:lineRule="exact"/>
        <w:ind w:firstLine="640"/>
        <w:jc w:val="both"/>
        <w:rPr>
          <w:rFonts w:ascii="Times New Roman" w:hAnsi="Times New Roman" w:eastAsia="方正楷体简体"/>
          <w:b w:val="0"/>
          <w:sz w:val="32"/>
          <w:szCs w:val="32"/>
        </w:rPr>
      </w:pPr>
      <w:bookmarkStart w:id="30" w:name="_Toc112233681"/>
      <w:r>
        <w:rPr>
          <w:rFonts w:ascii="Times New Roman" w:hAnsi="Times New Roman" w:eastAsia="方正楷体简体"/>
          <w:b w:val="0"/>
          <w:sz w:val="32"/>
          <w:szCs w:val="32"/>
        </w:rPr>
        <w:t>（二）“抓节水、构骨干”提升供水保障能力</w:t>
      </w:r>
      <w:bookmarkEnd w:id="30"/>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按照“充分利用地表水、控制利用地下水、积极引用外调水、鼓励采用非常规水”的水资源开发利用总思路，坚持节水优先，开源节流并举，充分利用采煤塌陷地新建平原水库、实施河道拦蓄工程，拦蓄雨洪资源；实施南水北调地方配套等跨流域调水和再生水回用工程建设；开展地表水厂建设，实施农村饮水安全提升和城乡供水一体化工程，同时把非常规水源利用作为开源的重要措施，加大再生水回用力度，推进再生水利用，新建、改建和扩建项目必须充分利用好非常规水源。通过以上方案的实施，构建成布局合理、蓄泄兼筹、丰枯调剂、生态良好的供水保障体系。</w:t>
      </w:r>
      <w:bookmarkStart w:id="31" w:name="_Hlk61517222"/>
    </w:p>
    <w:p>
      <w:pPr>
        <w:pStyle w:val="16"/>
        <w:spacing w:line="560" w:lineRule="exact"/>
        <w:ind w:firstLine="640"/>
        <w:rPr>
          <w:rFonts w:ascii="Times New Roman" w:eastAsia="方正黑体简体"/>
          <w:color w:val="auto"/>
          <w:sz w:val="32"/>
          <w:szCs w:val="32"/>
        </w:rPr>
      </w:pPr>
      <w:r>
        <w:rPr>
          <w:rFonts w:ascii="Times New Roman" w:eastAsia="方正黑体简体"/>
          <w:color w:val="auto"/>
          <w:sz w:val="32"/>
          <w:szCs w:val="32"/>
        </w:rPr>
        <w:t>1、城乡供水提升工程</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改造兴隆庄街道、新兖镇、颜店镇、小孟镇等8个镇街管网，新建谷村、小孟、颜店、兴隆庄4座水厂清水池等。拟于2025年前实施完成，工程投资匡算1.49亿元。</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完善西城区管网供水建设，新建供水管网40km；加快东城区供水管网改造，完成30km老旧管网改造，进一步降低供水管网漏失率，提升城区供水管网压力。原西郊水厂建设供水调度服务中心，改善服务环境。拟于2025年前完成建设，工程投资匡算0.9亿元。</w:t>
      </w:r>
    </w:p>
    <w:p>
      <w:pPr>
        <w:pStyle w:val="16"/>
        <w:spacing w:line="560" w:lineRule="exact"/>
        <w:ind w:firstLine="640"/>
        <w:rPr>
          <w:rFonts w:ascii="Times New Roman" w:eastAsia="方正黑体简体"/>
          <w:color w:val="auto"/>
          <w:sz w:val="32"/>
          <w:szCs w:val="32"/>
        </w:rPr>
      </w:pPr>
      <w:r>
        <w:rPr>
          <w:rFonts w:ascii="Times New Roman" w:eastAsia="方正黑体简体"/>
          <w:color w:val="auto"/>
          <w:sz w:val="32"/>
          <w:szCs w:val="32"/>
        </w:rPr>
        <w:t>2、重点水源工程建设</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规划论证兴建两处以上固定水源地；规划论证在白马河塌陷区新建兴隆庄水库，总库容850万m</w:t>
      </w:r>
      <w:r>
        <w:rPr>
          <w:rFonts w:ascii="Times New Roman" w:eastAsia="方正仿宋简体"/>
          <w:color w:val="auto"/>
          <w:sz w:val="32"/>
          <w:szCs w:val="32"/>
          <w:vertAlign w:val="superscript"/>
        </w:rPr>
        <w:t>3</w:t>
      </w:r>
      <w:r>
        <w:rPr>
          <w:rFonts w:ascii="Times New Roman" w:eastAsia="方正仿宋简体"/>
          <w:color w:val="auto"/>
          <w:sz w:val="32"/>
          <w:szCs w:val="32"/>
        </w:rPr>
        <w:t>。对漕河镇、大安镇东北部“长条井”清淤治理工程，以保证长条井蓄水量,满足该区域农业生产需要。</w:t>
      </w:r>
    </w:p>
    <w:p>
      <w:pPr>
        <w:pStyle w:val="16"/>
        <w:spacing w:line="560" w:lineRule="exact"/>
        <w:ind w:firstLine="640"/>
        <w:rPr>
          <w:rFonts w:ascii="Times New Roman" w:eastAsia="方正黑体简体"/>
          <w:color w:val="auto"/>
          <w:sz w:val="32"/>
          <w:szCs w:val="32"/>
        </w:rPr>
      </w:pPr>
      <w:r>
        <w:rPr>
          <w:rFonts w:ascii="Times New Roman" w:eastAsia="方正黑体简体"/>
          <w:color w:val="auto"/>
          <w:sz w:val="32"/>
          <w:szCs w:val="32"/>
        </w:rPr>
        <w:t>3、重要引调水工程</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（1）</w:t>
      </w:r>
      <w:r>
        <w:rPr>
          <w:rFonts w:ascii="Times New Roman" w:eastAsia="方正仿宋简体"/>
          <w:color w:val="auto"/>
          <w:spacing w:val="4"/>
          <w:sz w:val="32"/>
          <w:szCs w:val="32"/>
        </w:rPr>
        <w:t>引泗补源巩固提升工程。“十四五”期间重点对引泗回灌工程中的一干渠、三干渠补源工程巩固提升，对小泥河、三干渠进行修复，同时三干渠进行岸坡整治；对长条井进行疏挖、护砌、绿化整治，对河道清淤疏浚，加固河道险工段，新建、重建、维修加固水闸等相关水工建筑物，利用河道渗水回灌补给地下水。拟于2025年前实施完成，工程投资匡算0.8亿元。</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2）引汶入兖巩固提升工程。主要工程内容包括疏浚下源沟和黄狼沟，提升渠系连通性，在济宁市引汶补源工程兖州下源沟段引水口处新建提水泵站一座，在下源沟至黄狼沟之间铺设引水管道，并在引水管道上设置分水管接至周边农田原有灌溉管道。拟于2025年实前施完成，工程投资匡算0.5亿元。</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（3）南水北调东线二期配套工程。结合南水北调东线二期工程推进情况，规划实施兖州区南水北调东线二期配套工程，年引水量为2000万m</w:t>
      </w:r>
      <w:r>
        <w:rPr>
          <w:rFonts w:ascii="Times New Roman" w:eastAsia="方正仿宋简体"/>
          <w:color w:val="auto"/>
          <w:sz w:val="32"/>
          <w:szCs w:val="32"/>
          <w:vertAlign w:val="superscript"/>
        </w:rPr>
        <w:t>3</w:t>
      </w:r>
      <w:r>
        <w:rPr>
          <w:rFonts w:ascii="Times New Roman" w:eastAsia="方正仿宋简体"/>
          <w:color w:val="auto"/>
          <w:sz w:val="32"/>
          <w:szCs w:val="32"/>
        </w:rPr>
        <w:t>，为兖州区经济发展提供后备水源。拟于2025年前实施完成，工程投资匡算2.5亿元。</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（4）兖州区引湖入兖调水工程。规划实施引湖入兖调水工程，新建两座净水厂及相应的供配水管线，供水规模为40</w:t>
      </w:r>
      <w:r>
        <w:rPr>
          <w:rFonts w:ascii="Times New Roman" w:eastAsia="方正仿宋简体"/>
          <w:color w:val="auto"/>
          <w:sz w:val="32"/>
          <w:szCs w:val="32"/>
          <w:lang w:val="en-US"/>
        </w:rPr>
        <w:t>16</w:t>
      </w:r>
      <w:r>
        <w:rPr>
          <w:rFonts w:ascii="Times New Roman" w:eastAsia="方正仿宋简体"/>
          <w:color w:val="auto"/>
          <w:sz w:val="32"/>
          <w:szCs w:val="32"/>
        </w:rPr>
        <w:t>万m</w:t>
      </w:r>
      <w:r>
        <w:rPr>
          <w:rFonts w:ascii="Times New Roman" w:eastAsia="方正仿宋简体"/>
          <w:color w:val="auto"/>
          <w:sz w:val="32"/>
          <w:szCs w:val="32"/>
          <w:vertAlign w:val="superscript"/>
        </w:rPr>
        <w:t>3</w:t>
      </w:r>
      <w:r>
        <w:rPr>
          <w:rFonts w:ascii="Times New Roman" w:eastAsia="方正仿宋简体"/>
          <w:color w:val="auto"/>
          <w:sz w:val="32"/>
          <w:szCs w:val="32"/>
        </w:rPr>
        <w:t>/a，水源包括南四湖水、长江水、当地地表水及再生水。拟于2025年前实施完成，工程投资匡算5.7</w:t>
      </w:r>
      <w:r>
        <w:rPr>
          <w:rFonts w:ascii="Times New Roman" w:eastAsia="方正仿宋简体"/>
          <w:color w:val="auto"/>
          <w:sz w:val="32"/>
          <w:szCs w:val="32"/>
          <w:lang w:val="en-US"/>
        </w:rPr>
        <w:t>1</w:t>
      </w:r>
      <w:r>
        <w:rPr>
          <w:rFonts w:ascii="Times New Roman" w:eastAsia="方正仿宋简体"/>
          <w:color w:val="auto"/>
          <w:sz w:val="32"/>
          <w:szCs w:val="32"/>
        </w:rPr>
        <w:t>亿元。</w:t>
      </w:r>
    </w:p>
    <w:bookmarkEnd w:id="31"/>
    <w:p>
      <w:pPr>
        <w:pStyle w:val="16"/>
        <w:spacing w:line="560" w:lineRule="exact"/>
        <w:ind w:firstLine="640"/>
        <w:rPr>
          <w:rFonts w:ascii="Times New Roman" w:eastAsia="方正黑体简体"/>
          <w:color w:val="auto"/>
          <w:sz w:val="32"/>
          <w:szCs w:val="32"/>
        </w:rPr>
      </w:pPr>
      <w:bookmarkStart w:id="32" w:name="_Hlk61517330"/>
      <w:r>
        <w:rPr>
          <w:rFonts w:ascii="Times New Roman" w:eastAsia="方正黑体简体"/>
          <w:color w:val="auto"/>
          <w:sz w:val="32"/>
          <w:szCs w:val="32"/>
        </w:rPr>
        <w:t>4、中水资源化工程</w:t>
      </w:r>
    </w:p>
    <w:p>
      <w:pPr>
        <w:pStyle w:val="16"/>
        <w:spacing w:line="560" w:lineRule="exact"/>
        <w:ind w:firstLine="640"/>
        <w:rPr>
          <w:rFonts w:ascii="Times New Roman"/>
          <w:color w:val="auto"/>
        </w:rPr>
      </w:pPr>
      <w:r>
        <w:rPr>
          <w:rFonts w:ascii="Times New Roman" w:eastAsia="方正仿宋简体"/>
          <w:color w:val="auto"/>
          <w:sz w:val="32"/>
          <w:szCs w:val="32"/>
        </w:rPr>
        <w:t>论证实施生活污水处理厂提标改造工程，出水水质满足相应水功能区水质要求后，通过新建泵站和管线，沿大安河而上到引泗总干渠，用于农业灌溉和生态用水。论证实施泗河马桥湿地提标改造工程，出水水质满足相应水功能区水质要求后，通过新建泵站和管线，沿泗河而上到龙湾店气盾坝上游，用于农业灌溉和生态用水。拟于2025年前完成建设，工程投资匡算2.0亿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70" w:type="dxa"/>
            <w:tcBorders>
              <w:top w:val="single" w:color="auto" w:sz="4" w:space="0"/>
              <w:left w:val="single" w:color="auto" w:sz="4" w:space="0"/>
              <w:bottom w:val="single" w:color="auto" w:sz="4" w:space="0"/>
              <w:right w:val="single" w:color="auto" w:sz="4" w:space="0"/>
            </w:tcBorders>
            <w:noWrap/>
            <w:vAlign w:val="center"/>
          </w:tcPr>
          <w:p>
            <w:pPr>
              <w:pStyle w:val="16"/>
              <w:spacing w:line="500" w:lineRule="exact"/>
              <w:ind w:firstLine="0" w:firstLineChars="0"/>
              <w:jc w:val="center"/>
              <w:rPr>
                <w:rFonts w:ascii="Times New Roman" w:eastAsia="方正仿宋简体"/>
                <w:bCs w:val="0"/>
                <w:color w:val="auto"/>
              </w:rPr>
            </w:pPr>
            <w:r>
              <w:rPr>
                <w:rFonts w:ascii="Times New Roman" w:eastAsia="方正仿宋简体"/>
                <w:bCs w:val="0"/>
                <w:color w:val="auto"/>
              </w:rPr>
              <w:t>专栏2  供水保障重点工程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9" w:hRule="atLeast"/>
          <w:jc w:val="center"/>
        </w:trPr>
        <w:tc>
          <w:tcPr>
            <w:tcW w:w="8670" w:type="dxa"/>
            <w:tcBorders>
              <w:top w:val="single" w:color="auto" w:sz="4" w:space="0"/>
              <w:left w:val="single" w:color="auto" w:sz="4" w:space="0"/>
              <w:bottom w:val="single" w:color="auto" w:sz="4" w:space="0"/>
              <w:right w:val="single" w:color="auto" w:sz="4" w:space="0"/>
            </w:tcBorders>
            <w:noWrap/>
            <w:vAlign w:val="center"/>
          </w:tcPr>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城乡供水提升工程</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改造兴隆庄街道、新兖镇、颜店镇等8个镇街管网，新建谷村、小孟、颜店、兴隆庄4座水厂清水池等。完善西城区供水管网建设，新建供水管网40km；加快东城区供水管网改造，完成30km老旧管网改造，进一步降低供水管网漏失率，提升城区供水管网压力。原西郊水厂建设供水调度服务中心，改善服务环境。</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重点水源工程建设</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规划论证兴建两处以上固定水源地；规划论证在白马河塌陷区新建兴隆庄水库。对漕河镇、大安镇东北部“长条井”清淤治理工程，以保证长条井蓄水量,满足该区域农业生产需要。</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引泗补源巩固提升工程</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对引泗回灌工程中的一干渠、三干渠补源工程巩固提升，对小泥河、三干渠进行修复，对长条井进行疏挖、护砌、绿化整治，对河道清淤疏浚，加固河道险工段，新建、重建、维修加固水闸等相关水工建筑物，利用河道渗水回灌补给地下水。</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引汶入兖巩固提升工程。</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疏浚下源沟和黄狼沟，提升渠系连通性，在济宁市引汶补源工程兖州下源沟段引水口处新建提水泵站一座，在下源沟至黄狼沟之间铺设引水管道，并在引水管道上设置分水管接至周边农田原有灌溉管道。</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南水北调东线二期配套工程。</w:t>
            </w:r>
          </w:p>
          <w:p>
            <w:pPr>
              <w:pStyle w:val="16"/>
              <w:spacing w:line="500" w:lineRule="exact"/>
              <w:ind w:firstLine="536"/>
              <w:rPr>
                <w:rFonts w:ascii="Times New Roman" w:eastAsia="方正仿宋简体"/>
                <w:color w:val="auto"/>
                <w:spacing w:val="-6"/>
                <w:sz w:val="28"/>
                <w:szCs w:val="28"/>
              </w:rPr>
            </w:pPr>
            <w:r>
              <w:rPr>
                <w:rFonts w:ascii="Times New Roman" w:eastAsia="方正仿宋简体"/>
                <w:color w:val="auto"/>
                <w:spacing w:val="-6"/>
                <w:sz w:val="28"/>
                <w:szCs w:val="28"/>
              </w:rPr>
              <w:t>结合南水北调东线二期工程推进情况，规划实施兖州区南水北调东线二期配套工程，年引水量为2000万m</w:t>
            </w:r>
            <w:r>
              <w:rPr>
                <w:rFonts w:ascii="Times New Roman" w:eastAsia="方正仿宋简体"/>
                <w:color w:val="auto"/>
                <w:spacing w:val="-6"/>
                <w:sz w:val="28"/>
                <w:szCs w:val="28"/>
                <w:vertAlign w:val="superscript"/>
              </w:rPr>
              <w:t>3</w:t>
            </w:r>
            <w:r>
              <w:rPr>
                <w:rFonts w:ascii="Times New Roman" w:eastAsia="方正仿宋简体"/>
                <w:color w:val="auto"/>
                <w:spacing w:val="-6"/>
                <w:sz w:val="28"/>
                <w:szCs w:val="28"/>
              </w:rPr>
              <w:t>，为兖州区经济发展提供后备水源。</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兖州区引湖入兖调水工程</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新建两座净水厂及相应的供配水管线，供水规模为4050万m</w:t>
            </w:r>
            <w:r>
              <w:rPr>
                <w:rFonts w:ascii="Times New Roman" w:eastAsia="方正仿宋简体"/>
                <w:color w:val="auto"/>
                <w:sz w:val="28"/>
                <w:szCs w:val="28"/>
                <w:vertAlign w:val="superscript"/>
              </w:rPr>
              <w:t>3</w:t>
            </w:r>
            <w:r>
              <w:rPr>
                <w:rFonts w:ascii="Times New Roman" w:eastAsia="方正仿宋简体"/>
                <w:color w:val="auto"/>
                <w:sz w:val="28"/>
                <w:szCs w:val="28"/>
              </w:rPr>
              <w:t>/a，水源包括南四湖水、长江水、当地地表水及再生水。</w:t>
            </w:r>
          </w:p>
          <w:p>
            <w:pPr>
              <w:pStyle w:val="16"/>
              <w:spacing w:line="500" w:lineRule="exact"/>
              <w:ind w:firstLine="560"/>
              <w:rPr>
                <w:rFonts w:ascii="Times New Roman" w:eastAsia="方正仿宋简体"/>
                <w:color w:val="auto"/>
                <w:sz w:val="28"/>
                <w:szCs w:val="28"/>
              </w:rPr>
            </w:pPr>
            <w:r>
              <w:rPr>
                <w:rFonts w:ascii="Times New Roman" w:eastAsia="方正仿宋简体"/>
                <w:color w:val="auto"/>
                <w:sz w:val="28"/>
                <w:szCs w:val="28"/>
              </w:rPr>
              <w:t>中水资源化工程</w:t>
            </w:r>
          </w:p>
          <w:p>
            <w:pPr>
              <w:pStyle w:val="16"/>
              <w:spacing w:line="500" w:lineRule="exact"/>
              <w:ind w:firstLine="560"/>
              <w:rPr>
                <w:rFonts w:ascii="Times New Roman" w:eastAsia="方正仿宋简体"/>
                <w:color w:val="auto"/>
              </w:rPr>
            </w:pPr>
            <w:r>
              <w:rPr>
                <w:rFonts w:ascii="Times New Roman" w:eastAsia="方正仿宋简体"/>
                <w:color w:val="auto"/>
                <w:sz w:val="28"/>
                <w:szCs w:val="28"/>
              </w:rPr>
              <w:t>论证实施生活污水处理厂提标改造工程，出水水质满足相应水功能区水质要求后，通过新建泵站和管线，沿大安河而上到引泗总干渠，用于农业灌溉和生态用水。论证实施泗河马桥湿地提标改造工程，出水水质满足相应水功能区水质要求后，通过新建泵站和管线，沿泗河而上到龙湾店气盾坝上游，用于农业灌溉和生态用水。</w:t>
            </w:r>
          </w:p>
        </w:tc>
      </w:tr>
      <w:bookmarkEnd w:id="32"/>
    </w:tbl>
    <w:p>
      <w:pPr>
        <w:pStyle w:val="7"/>
        <w:spacing w:beforeAutospacing="0" w:afterAutospacing="0" w:line="560" w:lineRule="exact"/>
        <w:ind w:firstLine="640"/>
        <w:jc w:val="both"/>
        <w:rPr>
          <w:rFonts w:ascii="Times New Roman" w:hAnsi="Times New Roman" w:eastAsia="方正楷体简体"/>
          <w:b w:val="0"/>
          <w:sz w:val="32"/>
          <w:szCs w:val="32"/>
        </w:rPr>
      </w:pPr>
      <w:bookmarkStart w:id="33" w:name="_Toc61351972"/>
      <w:bookmarkEnd w:id="33"/>
      <w:bookmarkStart w:id="34" w:name="_Toc61351978"/>
      <w:bookmarkEnd w:id="34"/>
      <w:bookmarkStart w:id="35" w:name="_Toc61351984"/>
      <w:bookmarkEnd w:id="35"/>
      <w:bookmarkStart w:id="36" w:name="_Toc61351979"/>
      <w:bookmarkEnd w:id="36"/>
      <w:bookmarkStart w:id="37" w:name="_Toc61351971"/>
      <w:bookmarkEnd w:id="37"/>
      <w:bookmarkStart w:id="38" w:name="_Toc61351973"/>
      <w:bookmarkEnd w:id="38"/>
      <w:bookmarkStart w:id="39" w:name="_Toc61351983"/>
      <w:bookmarkEnd w:id="39"/>
      <w:bookmarkStart w:id="40" w:name="_Toc61351975"/>
      <w:bookmarkEnd w:id="40"/>
      <w:bookmarkStart w:id="41" w:name="_Toc61351977"/>
      <w:bookmarkEnd w:id="41"/>
      <w:bookmarkStart w:id="42" w:name="_Toc61351982"/>
      <w:bookmarkEnd w:id="42"/>
      <w:bookmarkStart w:id="43" w:name="_Toc61351974"/>
      <w:bookmarkEnd w:id="43"/>
      <w:bookmarkStart w:id="44" w:name="_Toc61351969"/>
      <w:bookmarkEnd w:id="44"/>
      <w:bookmarkStart w:id="45" w:name="_Toc61351965"/>
      <w:bookmarkEnd w:id="45"/>
      <w:bookmarkStart w:id="46" w:name="_Toc61351966"/>
      <w:bookmarkEnd w:id="46"/>
      <w:bookmarkStart w:id="47" w:name="_Toc61351981"/>
      <w:bookmarkEnd w:id="47"/>
      <w:bookmarkStart w:id="48" w:name="_Toc61351985"/>
      <w:bookmarkEnd w:id="48"/>
      <w:bookmarkStart w:id="49" w:name="_Toc61351970"/>
      <w:bookmarkEnd w:id="49"/>
      <w:bookmarkStart w:id="50" w:name="_Toc61351967"/>
      <w:bookmarkEnd w:id="50"/>
      <w:bookmarkStart w:id="51" w:name="_Toc61351968"/>
      <w:bookmarkEnd w:id="51"/>
      <w:bookmarkStart w:id="52" w:name="_Toc61351980"/>
      <w:bookmarkEnd w:id="52"/>
      <w:bookmarkStart w:id="53" w:name="_Toc61351976"/>
      <w:bookmarkEnd w:id="53"/>
      <w:bookmarkStart w:id="54" w:name="_Toc112233682"/>
      <w:r>
        <w:rPr>
          <w:rFonts w:ascii="Times New Roman" w:hAnsi="Times New Roman" w:eastAsia="方正楷体简体"/>
          <w:b w:val="0"/>
          <w:sz w:val="32"/>
          <w:szCs w:val="32"/>
        </w:rPr>
        <w:t>（三）“保生态、促修复”提升水利生态能力</w:t>
      </w:r>
      <w:bookmarkEnd w:id="54"/>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贯彻“绿水青山就是金山银山”理念，坚持山水林田湖草沙综合治理，按照“生态优先、绿色发展”的原则，谋划水土流失综合治理、地下水超采综合治理、重点河湖生态保护与修复、水系连通及水美乡村建设等工程建设任务、布局、举措等，推进更高层次水生态文明建设。</w:t>
      </w:r>
    </w:p>
    <w:p>
      <w:pPr>
        <w:pStyle w:val="16"/>
        <w:spacing w:line="560" w:lineRule="exact"/>
        <w:ind w:firstLine="640"/>
        <w:rPr>
          <w:rFonts w:ascii="Times New Roman" w:eastAsia="方正黑体简体"/>
          <w:color w:val="auto"/>
          <w:sz w:val="32"/>
          <w:szCs w:val="32"/>
        </w:rPr>
      </w:pPr>
      <w:r>
        <w:rPr>
          <w:rFonts w:ascii="Times New Roman" w:eastAsia="方正黑体简体"/>
          <w:color w:val="auto"/>
          <w:sz w:val="32"/>
          <w:szCs w:val="32"/>
        </w:rPr>
        <w:t>1、水土保持生态文明示范村建设</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十四五”期间实施水土保持生态文明示范村建设。主要建设内容：疏通现有排水体系，优化、改善、提升排水能力，建设拦挡工程措施，因地制宜改造下凹式绿地。拟于2025年前完成建设，工程投资匡算0.1亿元。</w:t>
      </w:r>
    </w:p>
    <w:p>
      <w:pPr>
        <w:pStyle w:val="16"/>
        <w:spacing w:line="560" w:lineRule="exact"/>
        <w:ind w:firstLine="640"/>
        <w:rPr>
          <w:rFonts w:ascii="Times New Roman" w:eastAsia="方正黑体简体"/>
          <w:color w:val="auto"/>
          <w:sz w:val="32"/>
          <w:szCs w:val="32"/>
        </w:rPr>
      </w:pPr>
      <w:r>
        <w:rPr>
          <w:rFonts w:ascii="Times New Roman" w:eastAsia="方正黑体简体"/>
          <w:color w:val="auto"/>
          <w:sz w:val="32"/>
          <w:szCs w:val="32"/>
        </w:rPr>
        <w:t>2、水土流失综合防治工程</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规划重点防治水土流失面积2.5km</w:t>
      </w:r>
      <w:r>
        <w:rPr>
          <w:rFonts w:ascii="Times New Roman" w:eastAsia="方正仿宋简体"/>
          <w:color w:val="auto"/>
          <w:sz w:val="32"/>
          <w:szCs w:val="32"/>
          <w:vertAlign w:val="superscript"/>
        </w:rPr>
        <w:t>2</w:t>
      </w:r>
      <w:r>
        <w:rPr>
          <w:rFonts w:ascii="Times New Roman" w:eastAsia="方正仿宋简体"/>
          <w:color w:val="auto"/>
          <w:sz w:val="32"/>
          <w:szCs w:val="32"/>
        </w:rPr>
        <w:t>。其中，水土流失治理面积2.5km</w:t>
      </w:r>
      <w:r>
        <w:rPr>
          <w:rFonts w:ascii="Times New Roman" w:eastAsia="方正仿宋简体"/>
          <w:color w:val="auto"/>
          <w:sz w:val="32"/>
          <w:szCs w:val="32"/>
          <w:vertAlign w:val="superscript"/>
        </w:rPr>
        <w:t>2</w:t>
      </w:r>
      <w:r>
        <w:rPr>
          <w:rFonts w:ascii="Times New Roman" w:eastAsia="方正仿宋简体"/>
          <w:color w:val="auto"/>
          <w:sz w:val="32"/>
          <w:szCs w:val="32"/>
        </w:rPr>
        <w:t>，规划建设生态型人工湿地1座，河流养护1处，栽培农田防护林4000亩。拟于2025年前完成建设，工程投资匡算0.7亿元。</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兖州区是重要的煤炭产地，辖区内兴隆庄街道地处兖州煤田地带，采煤塌陷地面积大量增加，人均耕地逐年减少，水土流失现象严重。贯彻“十分珍惜、合理利用每一寸土地和切实保护耕地”的基本国策，综合治理水土流失现象，恢复耕地，在“十四五”期间计划治理采煤塌陷地综合治理面积1万亩。拟于2025年前完成建设，工程投资匡算0.3亿元。</w:t>
      </w:r>
    </w:p>
    <w:p>
      <w:pPr>
        <w:pStyle w:val="16"/>
        <w:spacing w:line="560" w:lineRule="exact"/>
        <w:ind w:firstLine="640"/>
        <w:rPr>
          <w:rFonts w:ascii="Times New Roman" w:eastAsia="方正黑体简体"/>
          <w:color w:val="auto"/>
          <w:sz w:val="32"/>
          <w:szCs w:val="32"/>
        </w:rPr>
      </w:pPr>
      <w:r>
        <w:rPr>
          <w:rFonts w:ascii="Times New Roman" w:eastAsia="方正黑体简体"/>
          <w:color w:val="auto"/>
          <w:sz w:val="32"/>
          <w:szCs w:val="32"/>
        </w:rPr>
        <w:t>3、加强超采区综合治理工程</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w:t>
      </w:r>
      <w:r>
        <w:rPr>
          <w:rFonts w:ascii="Times New Roman" w:eastAsia="方正仿宋简体"/>
          <w:color w:val="auto"/>
          <w:spacing w:val="-4"/>
          <w:sz w:val="32"/>
          <w:szCs w:val="32"/>
        </w:rPr>
        <w:t>十四五”期间将岩溶裂隙水超采量全部压减，全区浅层地下水超采区基本消除，部分深层承压水超采区水位有所回升，地下水生态得到改善，在平水年份基本实现全区地下水采补平衡，改善水生态环境。拟于2025年前完成建设，工程投资匡算0.6亿元。</w:t>
      </w:r>
    </w:p>
    <w:p>
      <w:pPr>
        <w:pStyle w:val="16"/>
        <w:spacing w:line="560" w:lineRule="exact"/>
        <w:ind w:firstLine="640"/>
        <w:rPr>
          <w:rFonts w:ascii="Times New Roman" w:eastAsia="方正黑体简体"/>
          <w:color w:val="auto"/>
          <w:sz w:val="32"/>
          <w:szCs w:val="32"/>
        </w:rPr>
      </w:pPr>
      <w:r>
        <w:rPr>
          <w:rFonts w:ascii="Times New Roman" w:eastAsia="方正黑体简体"/>
          <w:color w:val="auto"/>
          <w:sz w:val="32"/>
          <w:szCs w:val="32"/>
        </w:rPr>
        <w:t>4、</w:t>
      </w:r>
      <w:r>
        <w:rPr>
          <w:rFonts w:ascii="Times New Roman"/>
          <w:color w:val="auto"/>
          <w:sz w:val="32"/>
          <w:szCs w:val="32"/>
        </w:rPr>
        <w:t>洸</w:t>
      </w:r>
      <w:r>
        <w:rPr>
          <w:rFonts w:ascii="Times New Roman" w:eastAsia="方正黑体简体"/>
          <w:color w:val="auto"/>
          <w:sz w:val="32"/>
          <w:szCs w:val="32"/>
        </w:rPr>
        <w:t>府河流域河道生态廊道工程</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重点打造兖州区</w:t>
      </w:r>
      <w:r>
        <w:rPr>
          <w:rFonts w:ascii="Times New Roman"/>
          <w:color w:val="auto"/>
          <w:sz w:val="32"/>
          <w:szCs w:val="32"/>
        </w:rPr>
        <w:t>洸</w:t>
      </w:r>
      <w:r>
        <w:rPr>
          <w:rFonts w:ascii="Times New Roman" w:eastAsia="方正仿宋简体"/>
          <w:color w:val="auto"/>
          <w:sz w:val="32"/>
          <w:szCs w:val="32"/>
        </w:rPr>
        <w:t>府河流域河道生态廊道工程，对</w:t>
      </w:r>
      <w:r>
        <w:rPr>
          <w:rFonts w:ascii="Times New Roman"/>
          <w:color w:val="auto"/>
          <w:sz w:val="32"/>
          <w:szCs w:val="32"/>
        </w:rPr>
        <w:t>洸</w:t>
      </w:r>
      <w:r>
        <w:rPr>
          <w:rFonts w:ascii="Times New Roman" w:eastAsia="方正仿宋简体"/>
          <w:color w:val="auto"/>
          <w:sz w:val="32"/>
          <w:szCs w:val="32"/>
        </w:rPr>
        <w:t>府河流域兖州区境内的宁阳沟、朝阳河、罗河、中源沟、小泥河等河流及骨干排水沟进行综合治理。对现存的侵占、垃圾堆积问题统一处理；实施景观提升建设项目，包括绿化工程、园建工程、水电工程及土方工程。拟于2025年前实施完成，工程投资匡算2.20亿元。</w:t>
      </w:r>
    </w:p>
    <w:p>
      <w:pPr>
        <w:pStyle w:val="16"/>
        <w:spacing w:line="560" w:lineRule="exact"/>
        <w:ind w:firstLine="640"/>
        <w:rPr>
          <w:rFonts w:ascii="Times New Roman" w:eastAsia="方正黑体简体"/>
          <w:color w:val="auto"/>
          <w:sz w:val="32"/>
          <w:szCs w:val="32"/>
        </w:rPr>
      </w:pPr>
      <w:r>
        <w:rPr>
          <w:rFonts w:ascii="Times New Roman" w:eastAsia="方正黑体简体"/>
          <w:color w:val="auto"/>
          <w:sz w:val="32"/>
          <w:szCs w:val="32"/>
        </w:rPr>
        <w:t>5、泗河生态治理综合提升工程</w:t>
      </w:r>
    </w:p>
    <w:p>
      <w:pPr>
        <w:pStyle w:val="16"/>
        <w:spacing w:line="560" w:lineRule="exact"/>
        <w:ind w:firstLine="640"/>
        <w:rPr>
          <w:rFonts w:ascii="Times New Roman" w:eastAsia="方正仿宋简体"/>
          <w:color w:val="auto"/>
          <w:sz w:val="32"/>
          <w:szCs w:val="32"/>
        </w:rPr>
      </w:pPr>
      <w:r>
        <w:rPr>
          <w:rFonts w:ascii="Times New Roman" w:eastAsia="方正仿宋简体"/>
          <w:color w:val="auto"/>
          <w:sz w:val="32"/>
          <w:szCs w:val="32"/>
        </w:rPr>
        <w:t>一是对龙湖湿地、马桥湿地、青莲公园湿地进行巩固维修提升；二是对泗河兖州段岸线进行全面规划，修建防汛道路和绿地，铺设管道、部分岸坡护砌。</w:t>
      </w:r>
      <w:bookmarkStart w:id="55" w:name="_Hlk112137961"/>
      <w:r>
        <w:rPr>
          <w:rFonts w:ascii="Times New Roman" w:eastAsia="方正仿宋简体"/>
          <w:color w:val="auto"/>
          <w:sz w:val="32"/>
          <w:szCs w:val="32"/>
        </w:rPr>
        <w:t>拟于2025年前实施完成，工程投资匡算1.20亿元。</w:t>
      </w:r>
    </w:p>
    <w:tbl>
      <w:tblPr>
        <w:tblStyle w:val="13"/>
        <w:tblW w:w="8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670" w:type="dxa"/>
            <w:tcBorders>
              <w:top w:val="single" w:color="auto" w:sz="4" w:space="0"/>
              <w:left w:val="single" w:color="auto" w:sz="4" w:space="0"/>
              <w:bottom w:val="single" w:color="auto" w:sz="4" w:space="0"/>
              <w:right w:val="single" w:color="auto" w:sz="4" w:space="0"/>
            </w:tcBorders>
            <w:noWrap/>
            <w:vAlign w:val="center"/>
          </w:tcPr>
          <w:p>
            <w:pPr>
              <w:pStyle w:val="16"/>
              <w:spacing w:line="500" w:lineRule="exact"/>
              <w:ind w:firstLine="0" w:firstLineChars="0"/>
              <w:jc w:val="center"/>
              <w:rPr>
                <w:rFonts w:ascii="Times New Roman" w:eastAsia="方正仿宋简体"/>
                <w:bCs w:val="0"/>
                <w:color w:val="auto"/>
              </w:rPr>
            </w:pPr>
            <w:r>
              <w:rPr>
                <w:rFonts w:ascii="Times New Roman" w:eastAsia="方正仿宋简体"/>
                <w:bCs w:val="0"/>
                <w:color w:val="auto"/>
              </w:rPr>
              <w:t>专栏3  水利生态重点工程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9" w:hRule="atLeast"/>
          <w:jc w:val="center"/>
        </w:trPr>
        <w:tc>
          <w:tcPr>
            <w:tcW w:w="8670" w:type="dxa"/>
            <w:tcBorders>
              <w:top w:val="single" w:color="auto" w:sz="4" w:space="0"/>
              <w:left w:val="single" w:color="auto" w:sz="4" w:space="0"/>
              <w:bottom w:val="single" w:color="auto" w:sz="4" w:space="0"/>
              <w:right w:val="single" w:color="auto" w:sz="4" w:space="0"/>
            </w:tcBorders>
            <w:noWrap/>
            <w:vAlign w:val="center"/>
          </w:tcPr>
          <w:p>
            <w:pPr>
              <w:pStyle w:val="16"/>
              <w:spacing w:line="480" w:lineRule="exact"/>
              <w:ind w:firstLine="560"/>
              <w:rPr>
                <w:rFonts w:ascii="Times New Roman" w:eastAsia="方正仿宋简体"/>
                <w:color w:val="auto"/>
                <w:sz w:val="28"/>
                <w:szCs w:val="28"/>
              </w:rPr>
            </w:pPr>
            <w:r>
              <w:rPr>
                <w:rFonts w:ascii="Times New Roman" w:eastAsia="方正仿宋简体"/>
                <w:color w:val="auto"/>
                <w:sz w:val="28"/>
                <w:szCs w:val="28"/>
              </w:rPr>
              <w:t>水土保持生态文明示范村建设</w:t>
            </w:r>
          </w:p>
          <w:p>
            <w:pPr>
              <w:pStyle w:val="16"/>
              <w:spacing w:line="480" w:lineRule="exact"/>
              <w:ind w:firstLine="560"/>
              <w:rPr>
                <w:rFonts w:ascii="Times New Roman" w:eastAsia="方正仿宋简体"/>
                <w:color w:val="auto"/>
                <w:sz w:val="28"/>
                <w:szCs w:val="28"/>
              </w:rPr>
            </w:pPr>
            <w:r>
              <w:rPr>
                <w:rFonts w:ascii="Times New Roman" w:eastAsia="方正仿宋简体"/>
                <w:color w:val="auto"/>
                <w:sz w:val="28"/>
                <w:szCs w:val="28"/>
              </w:rPr>
              <w:t>疏通现有排水体系，优化、改善、提升排水能力，建设拦挡工程措施，因地制宜改造下凹式绿地。</w:t>
            </w:r>
          </w:p>
          <w:p>
            <w:pPr>
              <w:pStyle w:val="16"/>
              <w:spacing w:line="480" w:lineRule="exact"/>
              <w:ind w:firstLine="560"/>
              <w:rPr>
                <w:rFonts w:ascii="Times New Roman" w:eastAsia="方正仿宋简体"/>
                <w:color w:val="auto"/>
                <w:sz w:val="28"/>
                <w:szCs w:val="28"/>
              </w:rPr>
            </w:pPr>
            <w:r>
              <w:rPr>
                <w:rFonts w:ascii="Times New Roman" w:eastAsia="方正仿宋简体"/>
                <w:color w:val="auto"/>
                <w:sz w:val="28"/>
                <w:szCs w:val="28"/>
              </w:rPr>
              <w:t>水土流失综合防治工程</w:t>
            </w:r>
          </w:p>
          <w:p>
            <w:pPr>
              <w:pStyle w:val="16"/>
              <w:spacing w:line="480" w:lineRule="exact"/>
              <w:ind w:firstLine="560"/>
              <w:rPr>
                <w:rFonts w:ascii="Times New Roman" w:eastAsia="方正仿宋简体"/>
                <w:color w:val="auto"/>
                <w:sz w:val="28"/>
                <w:szCs w:val="28"/>
              </w:rPr>
            </w:pPr>
            <w:r>
              <w:rPr>
                <w:rFonts w:ascii="Times New Roman" w:eastAsia="方正仿宋简体"/>
                <w:color w:val="auto"/>
                <w:sz w:val="28"/>
                <w:szCs w:val="28"/>
              </w:rPr>
              <w:t>水土流失治理面积2.5km</w:t>
            </w:r>
            <w:r>
              <w:rPr>
                <w:rFonts w:ascii="Times New Roman" w:eastAsia="方正仿宋简体"/>
                <w:color w:val="auto"/>
                <w:sz w:val="28"/>
                <w:szCs w:val="28"/>
                <w:vertAlign w:val="superscript"/>
              </w:rPr>
              <w:t>2</w:t>
            </w:r>
            <w:r>
              <w:rPr>
                <w:rFonts w:ascii="Times New Roman" w:eastAsia="方正仿宋简体"/>
                <w:color w:val="auto"/>
                <w:sz w:val="28"/>
                <w:szCs w:val="28"/>
              </w:rPr>
              <w:t>，规划建设生态型人工湿地1座，河流养护1处，栽培农田防护林4000亩。治理采煤塌陷地综合治理面积1万亩。</w:t>
            </w:r>
          </w:p>
          <w:p>
            <w:pPr>
              <w:pStyle w:val="16"/>
              <w:spacing w:line="480" w:lineRule="exact"/>
              <w:ind w:firstLine="560"/>
              <w:rPr>
                <w:rFonts w:ascii="Times New Roman" w:eastAsia="方正仿宋简体"/>
                <w:color w:val="auto"/>
                <w:sz w:val="28"/>
                <w:szCs w:val="28"/>
              </w:rPr>
            </w:pPr>
            <w:r>
              <w:rPr>
                <w:rFonts w:ascii="Times New Roman" w:eastAsia="方正仿宋简体"/>
                <w:color w:val="auto"/>
                <w:sz w:val="28"/>
                <w:szCs w:val="28"/>
              </w:rPr>
              <w:t>加强超采区综合治理工程</w:t>
            </w:r>
          </w:p>
          <w:p>
            <w:pPr>
              <w:pStyle w:val="16"/>
              <w:spacing w:line="480" w:lineRule="exact"/>
              <w:ind w:firstLine="560"/>
              <w:rPr>
                <w:rFonts w:ascii="Times New Roman" w:eastAsia="方正仿宋简体"/>
                <w:color w:val="auto"/>
                <w:sz w:val="28"/>
                <w:szCs w:val="28"/>
              </w:rPr>
            </w:pPr>
            <w:r>
              <w:rPr>
                <w:rFonts w:ascii="Times New Roman" w:eastAsia="方正仿宋简体"/>
                <w:color w:val="auto"/>
                <w:sz w:val="28"/>
                <w:szCs w:val="28"/>
              </w:rPr>
              <w:t>将岩溶裂隙水超采量全部压减，全区浅层地下水超采区基本</w:t>
            </w:r>
            <w:r>
              <w:rPr>
                <w:rFonts w:ascii="Times New Roman" w:eastAsia="方正仿宋简体"/>
                <w:color w:val="auto"/>
                <w:spacing w:val="-4"/>
                <w:sz w:val="28"/>
                <w:szCs w:val="28"/>
              </w:rPr>
              <w:t>消除，部分深层承压水超采区水位有所回升，地下水生态得到改善。</w:t>
            </w:r>
          </w:p>
          <w:p>
            <w:pPr>
              <w:pStyle w:val="16"/>
              <w:spacing w:line="480" w:lineRule="exact"/>
              <w:ind w:firstLine="560"/>
              <w:rPr>
                <w:rFonts w:ascii="Times New Roman" w:eastAsia="方正仿宋简体"/>
                <w:color w:val="auto"/>
                <w:sz w:val="28"/>
                <w:szCs w:val="28"/>
              </w:rPr>
            </w:pPr>
            <w:r>
              <w:rPr>
                <w:rFonts w:ascii="Times New Roman"/>
                <w:color w:val="auto"/>
                <w:sz w:val="28"/>
                <w:szCs w:val="28"/>
              </w:rPr>
              <w:t>洸</w:t>
            </w:r>
            <w:r>
              <w:rPr>
                <w:rFonts w:ascii="Times New Roman" w:eastAsia="方正仿宋简体"/>
                <w:color w:val="auto"/>
                <w:sz w:val="28"/>
                <w:szCs w:val="28"/>
              </w:rPr>
              <w:t>府河流域河道生态廊道工程</w:t>
            </w:r>
          </w:p>
          <w:p>
            <w:pPr>
              <w:pStyle w:val="16"/>
              <w:spacing w:line="480" w:lineRule="exact"/>
              <w:ind w:firstLine="560"/>
              <w:rPr>
                <w:rFonts w:ascii="Times New Roman" w:eastAsia="方正仿宋简体"/>
                <w:color w:val="auto"/>
                <w:sz w:val="28"/>
                <w:szCs w:val="28"/>
              </w:rPr>
            </w:pPr>
            <w:r>
              <w:rPr>
                <w:rFonts w:ascii="Times New Roman" w:eastAsia="方正仿宋简体"/>
                <w:color w:val="auto"/>
                <w:sz w:val="28"/>
                <w:szCs w:val="28"/>
              </w:rPr>
              <w:t>对</w:t>
            </w:r>
            <w:r>
              <w:rPr>
                <w:rFonts w:ascii="Times New Roman"/>
                <w:color w:val="auto"/>
                <w:sz w:val="28"/>
                <w:szCs w:val="28"/>
              </w:rPr>
              <w:t>洸</w:t>
            </w:r>
            <w:r>
              <w:rPr>
                <w:rFonts w:ascii="Times New Roman" w:eastAsia="方正仿宋简体"/>
                <w:color w:val="auto"/>
                <w:sz w:val="28"/>
                <w:szCs w:val="28"/>
              </w:rPr>
              <w:t>府河流域兖州区境内的骨干河流宁阳沟、朝阳河、罗河、中源沟、小泥河等16条骨干排水沟进行综合治理。对现存的侵占、垃圾堆积问题统一处理；实施景观提升建设项目，包括绿化工程、园建工程、水电工程及土方工程。</w:t>
            </w:r>
          </w:p>
          <w:p>
            <w:pPr>
              <w:pStyle w:val="16"/>
              <w:spacing w:line="480" w:lineRule="exact"/>
              <w:ind w:firstLine="560"/>
              <w:rPr>
                <w:rFonts w:ascii="Times New Roman" w:eastAsia="方正仿宋简体"/>
                <w:color w:val="auto"/>
                <w:sz w:val="28"/>
                <w:szCs w:val="28"/>
              </w:rPr>
            </w:pPr>
            <w:r>
              <w:rPr>
                <w:rFonts w:ascii="Times New Roman" w:eastAsia="方正仿宋简体"/>
                <w:color w:val="auto"/>
                <w:sz w:val="28"/>
                <w:szCs w:val="28"/>
              </w:rPr>
              <w:t>泗河生态治理综合提升工程</w:t>
            </w:r>
          </w:p>
          <w:p>
            <w:pPr>
              <w:pStyle w:val="16"/>
              <w:spacing w:line="480" w:lineRule="exact"/>
              <w:ind w:firstLine="560"/>
              <w:rPr>
                <w:rFonts w:ascii="Times New Roman" w:eastAsia="方正仿宋简体"/>
                <w:color w:val="auto"/>
              </w:rPr>
            </w:pPr>
            <w:r>
              <w:rPr>
                <w:rFonts w:ascii="Times New Roman" w:eastAsia="方正仿宋简体"/>
                <w:color w:val="auto"/>
                <w:sz w:val="28"/>
                <w:szCs w:val="28"/>
              </w:rPr>
              <w:t>一是对龙湖、马桥湿地、青莲公园湿地进行巩固维修提升；二是对泗河兖州段岸线进行全面规划，修建防汛道路和绿地，铺设管道、部分岸坡护砌。</w:t>
            </w:r>
          </w:p>
        </w:tc>
      </w:tr>
      <w:bookmarkEnd w:id="55"/>
    </w:tbl>
    <w:p>
      <w:pPr>
        <w:pStyle w:val="7"/>
        <w:spacing w:beforeAutospacing="0" w:afterAutospacing="0" w:line="520" w:lineRule="exact"/>
        <w:ind w:firstLine="640"/>
        <w:jc w:val="both"/>
        <w:rPr>
          <w:rFonts w:ascii="Times New Roman" w:hAnsi="Times New Roman" w:eastAsia="方正楷体简体"/>
          <w:b w:val="0"/>
          <w:sz w:val="32"/>
          <w:szCs w:val="32"/>
        </w:rPr>
      </w:pPr>
      <w:bookmarkStart w:id="56" w:name="_Toc112233683"/>
      <w:r>
        <w:rPr>
          <w:rFonts w:ascii="Times New Roman" w:hAnsi="Times New Roman" w:eastAsia="方正楷体简体"/>
          <w:b w:val="0"/>
          <w:sz w:val="32"/>
          <w:szCs w:val="32"/>
        </w:rPr>
        <w:t>（四）“补空白、融数据”提升智慧水利能力</w:t>
      </w:r>
      <w:bookmarkEnd w:id="56"/>
    </w:p>
    <w:p>
      <w:pPr>
        <w:pStyle w:val="16"/>
        <w:spacing w:line="520" w:lineRule="exact"/>
        <w:ind w:firstLine="624"/>
        <w:rPr>
          <w:rFonts w:ascii="Times New Roman" w:eastAsia="方正仿宋简体"/>
          <w:color w:val="auto"/>
          <w:spacing w:val="-4"/>
          <w:sz w:val="32"/>
          <w:szCs w:val="32"/>
        </w:rPr>
      </w:pPr>
      <w:bookmarkStart w:id="57" w:name="_Toc15776"/>
      <w:bookmarkStart w:id="58" w:name="_Toc4264"/>
      <w:r>
        <w:rPr>
          <w:rFonts w:ascii="Times New Roman" w:eastAsia="方正仿宋简体"/>
          <w:color w:val="auto"/>
          <w:spacing w:val="-4"/>
          <w:sz w:val="32"/>
          <w:szCs w:val="32"/>
        </w:rPr>
        <w:t>以水利改革发展为载体，充分结合省水利厅、济宁市智慧城市建设相关任务部署，对接济宁市提出的“智慧水利新型基础设施建设工程”“全市水利一体化业务融合平台建设工程”“重点水利工程标准化运行管理平台建设工程”三大建设工程。实现业务信息共享，全面补强水利信息化工程短板，提升水利工作智能化水平。</w:t>
      </w:r>
    </w:p>
    <w:p>
      <w:pPr>
        <w:pStyle w:val="16"/>
        <w:spacing w:line="520" w:lineRule="exact"/>
        <w:ind w:firstLine="640"/>
        <w:rPr>
          <w:rFonts w:ascii="Times New Roman" w:eastAsia="方正仿宋简体"/>
          <w:color w:val="auto"/>
          <w:sz w:val="32"/>
          <w:szCs w:val="32"/>
        </w:rPr>
      </w:pPr>
      <w:r>
        <w:rPr>
          <w:rFonts w:ascii="Times New Roman" w:eastAsia="方正仿宋简体"/>
          <w:color w:val="auto"/>
          <w:sz w:val="32"/>
          <w:szCs w:val="32"/>
        </w:rPr>
        <w:t>“十四五”期间实施依托济宁市平台进行全区水利工程及设施感知网建设、水利信息网建设、水利大数据中心建设、水利管理综合能力培训系统建设及水利应用提升工程。</w:t>
      </w:r>
      <w:bookmarkStart w:id="59" w:name="_Hlk112137784"/>
      <w:r>
        <w:rPr>
          <w:rFonts w:ascii="Times New Roman" w:eastAsia="方正仿宋简体"/>
          <w:color w:val="auto"/>
          <w:sz w:val="32"/>
          <w:szCs w:val="32"/>
        </w:rPr>
        <w:t>拟于2025年前实施完成，工程投资匡算0.20亿元。</w:t>
      </w:r>
      <w:bookmarkEnd w:id="59"/>
    </w:p>
    <w:p>
      <w:pPr>
        <w:pStyle w:val="16"/>
        <w:spacing w:line="520" w:lineRule="exact"/>
        <w:ind w:firstLine="640"/>
        <w:rPr>
          <w:rFonts w:ascii="Times New Roman" w:eastAsia="方正仿宋简体"/>
          <w:color w:val="auto"/>
          <w:sz w:val="32"/>
          <w:szCs w:val="32"/>
        </w:rPr>
      </w:pPr>
      <w:r>
        <w:rPr>
          <w:rFonts w:ascii="Times New Roman" w:eastAsia="方正仿宋简体"/>
          <w:color w:val="auto"/>
          <w:sz w:val="32"/>
          <w:szCs w:val="32"/>
        </w:rPr>
        <w:t>为加强农村供水信息化管理，对6座水厂控制设备进行更新，升级改造水量、水压、水位、余氯、用电等数据采集设备，实现对数据的实时传送和数据分析，自动异常预警，提高设备运行保障和水厂供水保证率。</w:t>
      </w:r>
    </w:p>
    <w:p>
      <w:pPr>
        <w:pStyle w:val="16"/>
        <w:spacing w:line="520" w:lineRule="exact"/>
        <w:ind w:firstLine="640"/>
        <w:rPr>
          <w:rFonts w:ascii="Times New Roman"/>
          <w:color w:val="auto"/>
        </w:rPr>
      </w:pPr>
      <w:r>
        <w:rPr>
          <w:rFonts w:ascii="Times New Roman" w:eastAsia="方正仿宋简体"/>
          <w:color w:val="auto"/>
          <w:sz w:val="32"/>
          <w:szCs w:val="32"/>
        </w:rPr>
        <w:t>为全面提高水费收缴方便程度及收缴率，“十四五”期间，对全区农村村居用水计量机械水表全部改换物联网水表，以水厂为单位建设数据中心，实现用水量实时传送，远程抄表计费，多种方式网上缴费，自动控制，定期对用水情况进行数据分析，智能化管理。拟于2025年前实施完成，工程投资匡算1.45亿元。</w:t>
      </w:r>
    </w:p>
    <w:tbl>
      <w:tblPr>
        <w:tblStyle w:val="13"/>
        <w:tblW w:w="8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70" w:type="dxa"/>
            <w:tcBorders>
              <w:top w:val="single" w:color="auto" w:sz="4" w:space="0"/>
              <w:left w:val="single" w:color="auto" w:sz="4" w:space="0"/>
              <w:bottom w:val="single" w:color="auto" w:sz="4" w:space="0"/>
              <w:right w:val="single" w:color="auto" w:sz="4" w:space="0"/>
            </w:tcBorders>
            <w:noWrap/>
            <w:vAlign w:val="center"/>
          </w:tcPr>
          <w:p>
            <w:pPr>
              <w:pStyle w:val="16"/>
              <w:spacing w:line="500" w:lineRule="exact"/>
              <w:ind w:firstLine="0" w:firstLineChars="0"/>
              <w:jc w:val="center"/>
              <w:rPr>
                <w:rFonts w:ascii="Times New Roman" w:eastAsia="方正仿宋简体"/>
                <w:bCs w:val="0"/>
                <w:color w:val="auto"/>
              </w:rPr>
            </w:pPr>
            <w:r>
              <w:rPr>
                <w:rFonts w:ascii="Times New Roman" w:eastAsia="方正仿宋简体"/>
                <w:bCs w:val="0"/>
                <w:color w:val="auto"/>
              </w:rPr>
              <w:t>专栏4  智慧水利重点工程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1" w:hRule="atLeast"/>
          <w:jc w:val="center"/>
        </w:trPr>
        <w:tc>
          <w:tcPr>
            <w:tcW w:w="8670" w:type="dxa"/>
            <w:tcBorders>
              <w:top w:val="single" w:color="auto" w:sz="4" w:space="0"/>
              <w:left w:val="single" w:color="auto" w:sz="4" w:space="0"/>
              <w:bottom w:val="single" w:color="auto" w:sz="4" w:space="0"/>
              <w:right w:val="single" w:color="auto" w:sz="4" w:space="0"/>
            </w:tcBorders>
            <w:noWrap/>
            <w:vAlign w:val="center"/>
          </w:tcPr>
          <w:p>
            <w:pPr>
              <w:pStyle w:val="16"/>
              <w:spacing w:line="460" w:lineRule="exact"/>
              <w:ind w:firstLine="528"/>
              <w:rPr>
                <w:rFonts w:ascii="Times New Roman" w:eastAsia="方正仿宋简体"/>
                <w:color w:val="auto"/>
                <w:spacing w:val="-8"/>
                <w:sz w:val="28"/>
                <w:szCs w:val="28"/>
              </w:rPr>
            </w:pPr>
            <w:r>
              <w:rPr>
                <w:rFonts w:ascii="Times New Roman" w:eastAsia="方正仿宋简体"/>
                <w:color w:val="auto"/>
                <w:spacing w:val="-8"/>
                <w:sz w:val="28"/>
                <w:szCs w:val="28"/>
              </w:rPr>
              <w:t>全区水利工程及设施感知网建设、水利信息网建设、水利大数据中心建设、水利管理综合能力培训系统建设及水利应用提升工程。</w:t>
            </w:r>
          </w:p>
          <w:p>
            <w:pPr>
              <w:pStyle w:val="16"/>
              <w:spacing w:line="460" w:lineRule="exact"/>
              <w:ind w:firstLine="560"/>
              <w:rPr>
                <w:rFonts w:ascii="Times New Roman" w:eastAsia="方正仿宋简体"/>
                <w:color w:val="auto"/>
              </w:rPr>
            </w:pPr>
            <w:r>
              <w:rPr>
                <w:rFonts w:ascii="Times New Roman" w:eastAsia="方正仿宋简体"/>
                <w:color w:val="auto"/>
                <w:sz w:val="28"/>
                <w:szCs w:val="28"/>
              </w:rPr>
              <w:t>为加强农村供水信息化管理，对6座水厂控制设备进行更新，升级改造水量、水压、水位、余氯、用电等数据采集设备，对全区农村居民用水计量机械水表全部改换物联网水表。</w:t>
            </w:r>
          </w:p>
        </w:tc>
      </w:tr>
      <w:bookmarkEnd w:id="57"/>
      <w:bookmarkEnd w:id="58"/>
    </w:tbl>
    <w:p>
      <w:pPr>
        <w:pStyle w:val="6"/>
        <w:keepNext w:val="0"/>
        <w:keepLines w:val="0"/>
        <w:overflowPunct w:val="0"/>
        <w:spacing w:before="0" w:after="0" w:line="560" w:lineRule="exact"/>
        <w:ind w:firstLine="640"/>
        <w:rPr>
          <w:rFonts w:ascii="Times New Roman" w:hAnsi="Times New Roman" w:eastAsia="方正黑体简体" w:cs="Times New Roman"/>
          <w:szCs w:val="32"/>
        </w:rPr>
      </w:pPr>
      <w:bookmarkStart w:id="60" w:name="_Toc112233684"/>
      <w:r>
        <w:rPr>
          <w:rFonts w:ascii="Times New Roman" w:hAnsi="Times New Roman" w:eastAsia="方正黑体简体" w:cs="Times New Roman"/>
          <w:szCs w:val="32"/>
        </w:rPr>
        <w:t>四、建全高效水利管理体系</w:t>
      </w:r>
      <w:bookmarkEnd w:id="60"/>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坚持依法治水、科学管水，全面加强水利法治建设，全面实行河长制，严格水资源管理，深化水利工程建设运行管理，强化城乡居民饮用水工程监管，健全水土保持监管，强化水利资金监督管理和水利执法监管。</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61" w:name="_Toc112233685"/>
      <w:r>
        <w:rPr>
          <w:rFonts w:ascii="Times New Roman" w:hAnsi="Times New Roman" w:eastAsia="方正楷体简体" w:cs="Times New Roman"/>
          <w:szCs w:val="32"/>
        </w:rPr>
        <w:t>（一）推进水利法治建设</w:t>
      </w:r>
      <w:bookmarkEnd w:id="61"/>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1、完善执法体制机制</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加大执法日常巡查和现场执法力度，逐步实现水行政执法工作由事后查处向预防为主、防查并重转变。积极组织开展专项执法检查和集中整治行动，依法严厉打击破坏水资源、危害水生态、影响水安全等水事违法行为，从严从实从快查处各类水事违法行为，建立健全权责明确、边界清晰、程序顺畅、运转高效的水行政执法运行机制。</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2、强化执法监督检查</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以全面推行行政执法“三项制度”为抓手，认真落实新修订的《行政处罚法》和《水行政监督检查工作实施办法》，通过执法检查、案卷评查、现场督查或责任追究等方式不断加强水行政执法监督，建立常态化、长效化督查制度。</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3、加大水利普法力度</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全面落实普法责任制，围绕水利改革发展大局开展普法宣传，将法治宣传教育融入执法全过程，形成分工负责、各司其职、齐抓共管的普法格局。重点利用“世界水日”“中国水周”“节水宣传周”“宪法宣传月”等活动，联合学校、媒体等机构开展形式多样的水法宣传活动。</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62" w:name="_Toc112233686"/>
      <w:r>
        <w:rPr>
          <w:rFonts w:ascii="Times New Roman" w:hAnsi="Times New Roman" w:eastAsia="方正楷体简体" w:cs="Times New Roman"/>
          <w:szCs w:val="32"/>
        </w:rPr>
        <w:t>（二）提升水利管理水平</w:t>
      </w:r>
      <w:bookmarkEnd w:id="62"/>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以问题为导向，从法制、体制、机制入手，健全监管体系，加强涉水事务监管，实现制度治水、制度管水。</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1、强化水资源监管，促进水资源节约集约利用</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建立水资源刚性约束制度，按照以水定需原则，体现水资源管理“最严格”要求，全面监管水资源节约、开发、利用、保护、配置、调度等各环节。强力推进国家节水行动，严格实施规划和建设项目节水评价制度。尽快建立节水激励机制，完善节水考核指标体系，形成科学合理的监督考核机制，进一步强化节水标准与用水定额管理。加强水资源监测，整治水资源过度开发、无序开发、低水平开发等现象。加强取水许可事中事后监管，实现用水全过程监督管理，引导和推动合同节水管理，提高水资源集约安全利用水平。紧紧依靠宣传主管部门、行业职能部门、工青妇等群团组织和广大新闻媒体，深化节水宣传教育，全面增强全社会节水意识。</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2、强化河流监管，持续改善河流生态环境</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以建设“美丽幸福河湖”为目标，深入推进河长制建设，坚持问题导向，明察暗访、闭环管理、动态清零。落实各级河长主体责任，发挥部门协同作用，推动河长制“有名”“有实”“有能”“有为”。综合利用人工、卫星遥感影像和无人机等手段采用定期和不定期相结合方式，动态监测河流水域岸线空间变化，强化水域、岸线空间管控与保护。通过部门、流域和区域联防联控，共保共治，加大对河流的监管力度，维护河流健康生命。加快确定重点河流生态流量，强化河流生态流量管控。加快河流重要控制断面监测站点建设，将生态流量监测纳入水资源监控体系，建立重要河流生态流量监测预警和信息发布机制。</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3、强化水利工程监管，充分发挥工程综合效益</w:t>
      </w:r>
    </w:p>
    <w:p>
      <w:pPr>
        <w:pStyle w:val="16"/>
        <w:overflowPunct w:val="0"/>
        <w:adjustRightInd w:val="0"/>
        <w:snapToGrid w:val="0"/>
        <w:spacing w:line="560" w:lineRule="exact"/>
        <w:ind w:firstLine="632"/>
        <w:rPr>
          <w:rFonts w:ascii="Times New Roman" w:eastAsia="方正仿宋简体"/>
          <w:color w:val="auto"/>
          <w:spacing w:val="-2"/>
          <w:sz w:val="32"/>
          <w:szCs w:val="32"/>
        </w:rPr>
      </w:pPr>
      <w:r>
        <w:rPr>
          <w:rFonts w:ascii="Times New Roman" w:eastAsia="方正仿宋简体"/>
          <w:color w:val="auto"/>
          <w:spacing w:val="-2"/>
          <w:sz w:val="32"/>
          <w:szCs w:val="32"/>
        </w:rPr>
        <w:t>抓好水利工程建设监管，压实项目法人、参建各方和项目主管部门责任。强化水利工程质量与安全监管，以安全生产标准化和双重预防机制建设为抓手，实现安全生产关口前移、重心下移，切实加强质量与安全事中事后监管，开展安全生产执法活动，提高水利安全生产监管科学化水平。进一步厘清质量与安全监督事权与职责，实现质量与安全监督检查全覆盖，构建质量与安全监督管理长效机制，全面提升工程建设质量和安全水平。强化水利资金监督管理。从制度建设、预算管理、监督检查、廉政风险防控等各个方面，切实采取有效措施，逐步形成完备的水利资金管理制度体系，将各级财政安排的水利资金全部纳入监督管理范围，建立健全廉政风险防控管理机制。建立多元化监督体系，实现水利资金运行管理全过程监督，有效防范和化解水利资金分配、使用、管理的廉政风险。健全水利市场监管机制，推行“双随机、一公开”动态化监管模式，引导水利建设市场良性发展。以水利工程标准化管理为抓手，完善水利工程运行管理制度和技术标准，落实水利工程运行管护主体和责任，全面加强水利工程维修养护、巡查检查、安全管理等工作。以点多面广的农村饮水等工程为重点，加大对工程安全规范运行的监管。强化城乡供水运行管理，全面落实“三个责任”</w:t>
      </w:r>
      <w:r>
        <w:rPr>
          <w:rFonts w:hint="eastAsia" w:ascii="Times New Roman" w:eastAsia="方正仿宋简体"/>
          <w:color w:val="auto"/>
          <w:spacing w:val="-2"/>
          <w:sz w:val="32"/>
          <w:szCs w:val="32"/>
        </w:rPr>
        <w:t>、</w:t>
      </w:r>
      <w:r>
        <w:rPr>
          <w:rFonts w:ascii="Times New Roman" w:eastAsia="方正仿宋简体"/>
          <w:color w:val="auto"/>
          <w:spacing w:val="-2"/>
          <w:sz w:val="32"/>
          <w:szCs w:val="32"/>
        </w:rPr>
        <w:t>“三项制度”，加强水质监管，提升服务水平，保障供水安全。</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4、强化水土保持监管，有效遏制人为水土流失</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强化水土保持预防监督，落实地方人民政府水土保持目标责任制、考核制度和水土保持“三同时”制度，完善水土保持生态补偿制度，从严防控生产建设活动造成的人为水土流失，全面监管水土流失状况和生产建设活动造成的人为水土流失情况。建立完备的水土保持监管制度体系，优化调整监测站点布局，完善相关技术标准。充分运用卫星遥感、大数据等现代科技手段，实现年度水土流失动态监测和人为水土流失监管全覆盖，及时发现并查处水土保持违法违规行为。</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63" w:name="_Toc112233687"/>
      <w:r>
        <w:rPr>
          <w:rFonts w:ascii="Times New Roman" w:hAnsi="Times New Roman" w:eastAsia="方正楷体简体" w:cs="Times New Roman"/>
          <w:szCs w:val="32"/>
        </w:rPr>
        <w:t>（三）提升安全防控能力</w:t>
      </w:r>
      <w:bookmarkEnd w:id="63"/>
    </w:p>
    <w:p>
      <w:pPr>
        <w:pStyle w:val="16"/>
        <w:overflowPunct w:val="0"/>
        <w:adjustRightInd w:val="0"/>
        <w:snapToGrid w:val="0"/>
        <w:spacing w:line="560" w:lineRule="exact"/>
        <w:ind w:firstLine="640"/>
        <w:rPr>
          <w:rFonts w:ascii="Times New Roman" w:eastAsia="方正仿宋简体"/>
          <w:color w:val="auto"/>
          <w:sz w:val="32"/>
          <w:szCs w:val="32"/>
          <w:shd w:val="clear" w:color="auto" w:fill="FFFFFF"/>
        </w:rPr>
      </w:pPr>
      <w:r>
        <w:rPr>
          <w:rFonts w:ascii="Times New Roman" w:eastAsia="方正仿宋简体"/>
          <w:color w:val="auto"/>
          <w:sz w:val="32"/>
          <w:szCs w:val="32"/>
          <w:shd w:val="clear" w:color="auto" w:fill="FFFFFF"/>
        </w:rPr>
        <w:t>强化风险防范意识，加强各类风险源排查防控，完善水安全风险识别和监测预警体系。针对防洪、水资源、水生态环境、水利工程等领域突发事件、主要风险等，最大程度预防和减少突发水安全事件造成的损害。全面落实水旱灾害防御责任，修订完善相关方案预案，开展风险隐患排查整改和调度培训演练，做好突发水旱灾害事件预警防范，健全水安全重大风险应急工作机制，提高应急处置能力。</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64" w:name="_Toc112233688"/>
      <w:r>
        <w:rPr>
          <w:rFonts w:ascii="Times New Roman" w:hAnsi="Times New Roman" w:eastAsia="方正楷体简体" w:cs="Times New Roman"/>
          <w:szCs w:val="32"/>
        </w:rPr>
        <w:t>（四）强化行政执法素质</w:t>
      </w:r>
      <w:bookmarkEnd w:id="64"/>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坚决执行上级重大决策部署和重要决定安排，严格按照政策法规制度开展工作，聚焦水利改革发展中的重点任务及其他需要贯彻落实的重要工作，并将其全面纳入监管范围。全面推行行政执法“三项制度”，严格落实行政处罚、行政强制权力网上运行工作。深入开展水行政执法监督检查，加大对重大水事违法案件的挂牌督办，严格规范公正文明执法。加强水行政执法能力建设和执法信息化建设，健全水法规制度体系，保障良好水生态环境。开展执法人员教育培训，加强巡查排查，不断完善水事矛盾纠纷排查化解机制。</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65" w:name="_Toc112233689"/>
      <w:r>
        <w:rPr>
          <w:rFonts w:ascii="Times New Roman" w:hAnsi="Times New Roman" w:eastAsia="方正楷体简体" w:cs="Times New Roman"/>
          <w:szCs w:val="32"/>
        </w:rPr>
        <w:t>（五）加强人才队伍建设</w:t>
      </w:r>
      <w:bookmarkEnd w:id="65"/>
    </w:p>
    <w:p>
      <w:pPr>
        <w:pStyle w:val="16"/>
        <w:overflowPunct w:val="0"/>
        <w:adjustRightInd w:val="0"/>
        <w:snapToGrid w:val="0"/>
        <w:spacing w:line="560" w:lineRule="exact"/>
        <w:ind w:firstLine="640"/>
        <w:rPr>
          <w:rFonts w:ascii="Times New Roman" w:eastAsia="方正仿宋简体"/>
          <w:color w:val="auto"/>
          <w:sz w:val="32"/>
          <w:szCs w:val="32"/>
          <w:shd w:val="clear" w:color="auto" w:fill="FFFFFF"/>
        </w:rPr>
      </w:pPr>
      <w:r>
        <w:rPr>
          <w:rFonts w:ascii="Times New Roman" w:eastAsia="方正仿宋简体"/>
          <w:color w:val="auto"/>
          <w:sz w:val="32"/>
          <w:szCs w:val="32"/>
          <w:shd w:val="clear" w:color="auto" w:fill="FFFFFF"/>
        </w:rPr>
        <w:t>坚持党管人才原则，统筹推进党政人才、专业技术人才、技能人才、基层水利人才队伍建设，加大水旱灾害防御、河湖管理、水利工程建设与运行管理等方面的人才队伍建设力度，重点实施创新团队建设、高层次人才培养、青年后备人才培养、能力素质培训提升等工程，培养一批具有科研能力的优秀人才。以多种方式开展队伍专业能力提升培训，扩大培训覆盖面，丰富培训内容和形式，提升水利队伍推进创新发展、融合发展和高质量发展相关能力。着力补齐水利人才队伍建设短板，实现水利人才总量、结构、素质与水利事业科学发展相协调。加强思想政治建设、党风廉政建设、作风建设和水文化建设，深入开展精神文明创建活动，大力弘扬“忠诚、干净、担当、科学、求实、创新”的新时代水利精神。</w:t>
      </w:r>
    </w:p>
    <w:p>
      <w:pPr>
        <w:pStyle w:val="6"/>
        <w:keepNext w:val="0"/>
        <w:keepLines w:val="0"/>
        <w:overflowPunct w:val="0"/>
        <w:spacing w:before="0" w:after="0" w:line="560" w:lineRule="exact"/>
        <w:ind w:firstLine="640"/>
        <w:rPr>
          <w:rFonts w:ascii="Times New Roman" w:hAnsi="Times New Roman" w:eastAsia="方正黑体简体" w:cs="Times New Roman"/>
          <w:szCs w:val="32"/>
        </w:rPr>
      </w:pPr>
      <w:bookmarkStart w:id="66" w:name="_Toc112233690"/>
      <w:bookmarkStart w:id="67" w:name="_Hlk111891501"/>
      <w:r>
        <w:rPr>
          <w:rFonts w:ascii="Times New Roman" w:hAnsi="Times New Roman" w:eastAsia="方正黑体简体" w:cs="Times New Roman"/>
          <w:szCs w:val="32"/>
        </w:rPr>
        <w:t>五、激发水利发展内生动力</w:t>
      </w:r>
      <w:bookmarkEnd w:id="66"/>
      <w:bookmarkEnd w:id="67"/>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全面推进体制机制改革创新，固根基、扬优势、补短板、强弱项，构建系统完备、科学规范、运行有效的水利治理体制机制，把制度优势更好地转化为治理效能。</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68" w:name="_Toc112233691"/>
      <w:r>
        <w:rPr>
          <w:rFonts w:ascii="Times New Roman" w:hAnsi="Times New Roman" w:eastAsia="方正楷体简体" w:cs="Times New Roman"/>
          <w:szCs w:val="32"/>
        </w:rPr>
        <w:t>（一）深化管护体制改革</w:t>
      </w:r>
      <w:bookmarkEnd w:id="68"/>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建立职能清晰、责任明确的管理体制，社会化、专业化的管护模式，制度健全、管护规范的运行机制，稳定可靠、使用高效的经费保障机制，奖惩分明、考核科学的管理监督机制。加强水利工程管理标准体系建设，探索所有权、管理权和使用权相分离，适宜小型水利工程的管护新模式。创新政府购买服务、分级负责、分类管理、集约管理的水利工程运行管理有效途径和以大代小、委托代管等管理模式。推动工程运行管理队伍专业化、规模化、规范化。</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69" w:name="_Toc112233692"/>
      <w:r>
        <w:rPr>
          <w:rFonts w:ascii="Times New Roman" w:hAnsi="Times New Roman" w:eastAsia="方正楷体简体" w:cs="Times New Roman"/>
          <w:szCs w:val="32"/>
        </w:rPr>
        <w:t>（二）落实水资源税费、水价改革政策</w:t>
      </w:r>
      <w:bookmarkEnd w:id="69"/>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健全水资源有偿使用制度，深入贯彻落实水资源税改革，用税收杠杆调节用水需求，健全补偿成本、合理盈利、激励节水的水价动态调整机制。按照试点先行、全面推开的原则，加快推进区域综合水价改革。落实城镇居民用水阶梯水价。</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70" w:name="_Toc112233693"/>
      <w:r>
        <w:rPr>
          <w:rFonts w:ascii="Times New Roman" w:hAnsi="Times New Roman" w:eastAsia="方正楷体简体" w:cs="Times New Roman"/>
          <w:szCs w:val="32"/>
        </w:rPr>
        <w:t>（三）深化水权制度改革</w:t>
      </w:r>
      <w:bookmarkEnd w:id="70"/>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以安全用水和节约高效利用水资源为导向，推动用水权交易，发挥市场在水资源配置中的作用，提高水资源在社会、经济、环境中的配置效益。依法开展水资源使用权确权登记，形成归属清晰、权责明确的水资源资产产权制度。培育和规范水权交易市场，积极推进水权交易流转方式，允许通过水权交易满足新增合理用水需求，充分发挥市场在水资源开发、利用、配置、节约、保护中的作用，使水权交易市场化成为解决水问题、化解水矛盾、实现可持续利用的内生动力。</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71" w:name="_Toc112233694"/>
      <w:r>
        <w:rPr>
          <w:rFonts w:ascii="Times New Roman" w:hAnsi="Times New Roman" w:eastAsia="方正楷体简体" w:cs="Times New Roman"/>
          <w:szCs w:val="32"/>
        </w:rPr>
        <w:t>（四）推进投资机制改革</w:t>
      </w:r>
      <w:bookmarkEnd w:id="71"/>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坚持政府主导、社会协同的原则，加大公共财政对水利投入，同时争取金融支持力度、鼓励和吸引社会资本、探索扩大股权和债券融资规模，以市场化改革推动加快水利工程建设，构建多元化水利投融资体制机制，保障水利建设资金需求。</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72" w:name="_Toc112233695"/>
      <w:r>
        <w:rPr>
          <w:rFonts w:ascii="Times New Roman" w:hAnsi="Times New Roman" w:eastAsia="方正楷体简体" w:cs="Times New Roman"/>
          <w:szCs w:val="32"/>
        </w:rPr>
        <w:t>（五）深化水利“放管服”</w:t>
      </w:r>
      <w:bookmarkEnd w:id="72"/>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要持续发力深化水利“放管服”改革，积极创建“无证明城市”。在“管”字上下功夫，深入推进“双随机、一公开”监督检查，加大明查暗访、重点监管、失信惩戒等力度，抓好审批事项的事中事后监管；在“服”字上下功夫，统一标准、简化程序，进一步提高政务服务事项网上办理比例。</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73" w:name="_Toc112233696"/>
      <w:r>
        <w:rPr>
          <w:rFonts w:ascii="Times New Roman" w:hAnsi="Times New Roman" w:eastAsia="方正楷体简体" w:cs="Times New Roman"/>
          <w:szCs w:val="32"/>
        </w:rPr>
        <w:t>（六）完善人才引进机制</w:t>
      </w:r>
      <w:bookmarkEnd w:id="73"/>
    </w:p>
    <w:p>
      <w:pPr>
        <w:pStyle w:val="16"/>
        <w:overflowPunct w:val="0"/>
        <w:adjustRightInd w:val="0"/>
        <w:snapToGrid w:val="0"/>
        <w:spacing w:line="560" w:lineRule="exact"/>
        <w:ind w:firstLine="640"/>
        <w:rPr>
          <w:rFonts w:ascii="Times New Roman" w:eastAsia="方正仿宋简体"/>
          <w:color w:val="auto"/>
          <w:kern w:val="0"/>
          <w:sz w:val="32"/>
          <w:szCs w:val="32"/>
        </w:rPr>
      </w:pPr>
      <w:r>
        <w:rPr>
          <w:rFonts w:ascii="Times New Roman" w:eastAsia="方正仿宋简体"/>
          <w:color w:val="auto"/>
          <w:sz w:val="32"/>
          <w:szCs w:val="32"/>
        </w:rPr>
        <w:t>建立水利科技创新体系，增加水利科技投入，加强水利科技攻关和科技成果推广，重点抓好防洪、节水、水资源保护、水环境治理等领域水利关键技术研究和推广，完善水利质量技术监督体系和水利技术标准体系。大力实施和推进水利人才战略，以高层次人才队伍建设为龙头，以人才能力建设为重点，以基层水利人才教育培养为基础，建立一支与水利现代化建设相适应的高素</w:t>
      </w:r>
      <w:r>
        <w:rPr>
          <w:rFonts w:ascii="Times New Roman" w:eastAsia="方正仿宋简体"/>
          <w:color w:val="auto"/>
          <w:kern w:val="0"/>
          <w:sz w:val="32"/>
          <w:szCs w:val="32"/>
        </w:rPr>
        <w:t>质人才队伍。</w:t>
      </w:r>
    </w:p>
    <w:p>
      <w:pPr>
        <w:pStyle w:val="6"/>
        <w:keepNext w:val="0"/>
        <w:keepLines w:val="0"/>
        <w:overflowPunct w:val="0"/>
        <w:spacing w:before="0" w:after="0" w:line="560" w:lineRule="exact"/>
        <w:ind w:firstLine="640"/>
        <w:rPr>
          <w:rFonts w:ascii="Times New Roman" w:hAnsi="Times New Roman" w:eastAsia="方正黑体简体" w:cs="Times New Roman"/>
          <w:szCs w:val="32"/>
        </w:rPr>
      </w:pPr>
      <w:bookmarkStart w:id="74" w:name="_Toc112233697"/>
      <w:r>
        <w:rPr>
          <w:rFonts w:ascii="Times New Roman" w:hAnsi="Times New Roman" w:eastAsia="方正黑体简体" w:cs="Times New Roman"/>
          <w:szCs w:val="32"/>
        </w:rPr>
        <w:t>六、投资规模及实施安排</w:t>
      </w:r>
      <w:bookmarkEnd w:id="74"/>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75" w:name="_Toc112233698"/>
      <w:r>
        <w:rPr>
          <w:rFonts w:ascii="Times New Roman" w:hAnsi="Times New Roman" w:eastAsia="方正楷体简体" w:cs="Times New Roman"/>
          <w:szCs w:val="32"/>
        </w:rPr>
        <w:t>（一）投资规模</w:t>
      </w:r>
      <w:bookmarkEnd w:id="75"/>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十四五”水利建设项目包括防洪除涝、供水保障、河湖生态和智慧水利等四大类，经初步匡算，预计投资规模为31.56亿元。其中防洪除涝工程投资10.9亿元，供水保障工程投资13.91亿元，河湖生态工程投资5.1亿元，智慧水利工程投资1.65亿元。</w:t>
      </w:r>
    </w:p>
    <w:p>
      <w:pPr>
        <w:pStyle w:val="6"/>
        <w:keepNext w:val="0"/>
        <w:keepLines w:val="0"/>
        <w:overflowPunct w:val="0"/>
        <w:spacing w:before="0" w:after="0" w:line="560" w:lineRule="exact"/>
        <w:ind w:firstLine="640"/>
        <w:rPr>
          <w:rFonts w:ascii="Times New Roman" w:hAnsi="Times New Roman" w:eastAsia="方正楷体简体" w:cs="Times New Roman"/>
          <w:szCs w:val="32"/>
        </w:rPr>
      </w:pPr>
      <w:bookmarkStart w:id="76" w:name="_Toc112233699"/>
      <w:r>
        <w:rPr>
          <w:rFonts w:ascii="Times New Roman" w:hAnsi="Times New Roman" w:eastAsia="方正楷体简体" w:cs="Times New Roman"/>
          <w:szCs w:val="32"/>
        </w:rPr>
        <w:t>（二）实施安排</w:t>
      </w:r>
      <w:bookmarkEnd w:id="76"/>
    </w:p>
    <w:p>
      <w:pPr>
        <w:pStyle w:val="16"/>
        <w:overflowPunct w:val="0"/>
        <w:adjustRightInd w:val="0"/>
        <w:snapToGrid w:val="0"/>
        <w:spacing w:line="560" w:lineRule="exact"/>
        <w:ind w:firstLine="640"/>
        <w:rPr>
          <w:rFonts w:ascii="Times New Roman"/>
          <w:color w:val="auto"/>
        </w:rPr>
      </w:pPr>
      <w:r>
        <w:rPr>
          <w:rFonts w:ascii="Times New Roman" w:eastAsia="方正仿宋简体"/>
          <w:color w:val="auto"/>
          <w:sz w:val="32"/>
          <w:szCs w:val="32"/>
        </w:rPr>
        <w:t>根据全区水利改革发展的总体要求，按照轻重缓急、突出重点的原则，积极对接国家和省水利改革发展规划，初步确定项目建设时序。加快实施河道治理等防洪减灾工程；实施兖州区工业供水工程等供水保障项目，实施</w:t>
      </w:r>
      <w:r>
        <w:rPr>
          <w:rFonts w:ascii="Times New Roman"/>
          <w:color w:val="auto"/>
          <w:sz w:val="32"/>
          <w:szCs w:val="32"/>
        </w:rPr>
        <w:t>洸</w:t>
      </w:r>
      <w:r>
        <w:rPr>
          <w:rFonts w:ascii="Times New Roman" w:eastAsia="方正仿宋简体"/>
          <w:color w:val="auto"/>
          <w:sz w:val="32"/>
          <w:szCs w:val="32"/>
        </w:rPr>
        <w:t>府河流域河道生态廊道工程等水生态项目，实施供水系统提升改造工程等智慧水利工程建设。2023—2025年每年分别计划投资10.8亿元、10.24亿元、10.52亿元。</w:t>
      </w:r>
    </w:p>
    <w:p>
      <w:pPr>
        <w:pStyle w:val="6"/>
        <w:keepNext w:val="0"/>
        <w:keepLines w:val="0"/>
        <w:overflowPunct w:val="0"/>
        <w:spacing w:before="0" w:after="0" w:line="560" w:lineRule="exact"/>
        <w:ind w:firstLine="640"/>
        <w:rPr>
          <w:rFonts w:ascii="Times New Roman" w:hAnsi="Times New Roman" w:eastAsia="方正黑体简体" w:cs="Times New Roman"/>
          <w:szCs w:val="32"/>
        </w:rPr>
      </w:pPr>
      <w:bookmarkStart w:id="77" w:name="_Toc112233700"/>
      <w:r>
        <w:rPr>
          <w:rFonts w:ascii="Times New Roman" w:hAnsi="Times New Roman" w:eastAsia="方正黑体简体" w:cs="Times New Roman"/>
          <w:szCs w:val="32"/>
        </w:rPr>
        <w:t>七、强化水利发展保障措施</w:t>
      </w:r>
      <w:bookmarkEnd w:id="77"/>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78" w:name="_Toc72324227"/>
      <w:bookmarkStart w:id="79" w:name="_Toc112233701"/>
      <w:bookmarkStart w:id="80" w:name="_Toc28493"/>
      <w:r>
        <w:rPr>
          <w:rFonts w:ascii="Times New Roman" w:hAnsi="Times New Roman" w:eastAsia="方正楷体简体"/>
          <w:b w:val="0"/>
          <w:sz w:val="32"/>
          <w:szCs w:val="32"/>
        </w:rPr>
        <w:t>（一）加强组织领导</w:t>
      </w:r>
      <w:bookmarkEnd w:id="78"/>
      <w:bookmarkEnd w:id="79"/>
      <w:bookmarkEnd w:id="80"/>
      <w:r>
        <w:rPr>
          <w:rFonts w:ascii="Times New Roman" w:hAnsi="Times New Roman" w:eastAsia="方正楷体简体"/>
          <w:b w:val="0"/>
          <w:sz w:val="32"/>
          <w:szCs w:val="32"/>
        </w:rPr>
        <w:t xml:space="preserve"> </w:t>
      </w:r>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十四五”时期，把加快水利改革发展、水利工程补短板、水利行业强监管作为推动现代化发展的重要内容放在更加突出的位置和优先发展的领域，切实落实各项措施，确保抓出成效。要进一步加强组织领导，细化目标责任分解，逐个环节、逐个岗位落实责任。建立水利工作经常化调度机制和议事决事机制，定期研究解决事关水利改革发展的重大问题，切实发挥政府在水利改革发展中的主导作用。</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81" w:name="_Toc112233702"/>
      <w:r>
        <w:rPr>
          <w:rFonts w:ascii="Times New Roman" w:hAnsi="Times New Roman" w:eastAsia="方正楷体简体"/>
          <w:b w:val="0"/>
          <w:sz w:val="32"/>
          <w:szCs w:val="32"/>
        </w:rPr>
        <w:t>（二）制定工作方案</w:t>
      </w:r>
      <w:bookmarkEnd w:id="81"/>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紧紧围绕国家和省、市、区“十四五”水利改革发展决策部署，结合本地实际，认真研究制定推进“十四五”水利改革发展工作方案，明确区域水利改革发展目标任务，本着总体规划、先急后缓，分期实施的原则，逐个年度分解下达目标任务，逐项工作落实推进部门、推进岗位、推进人员和推进措施，确保工作件件不落空，事事有成效。依据工作基础落实工作进度与深度，超前谋划、统筹安排。加强各年度、各阶段工作紧密衔接，实现同步展开，压实推进。</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82" w:name="_Toc112233703"/>
      <w:r>
        <w:rPr>
          <w:rFonts w:ascii="Times New Roman" w:hAnsi="Times New Roman" w:eastAsia="方正楷体简体"/>
          <w:b w:val="0"/>
          <w:sz w:val="32"/>
          <w:szCs w:val="32"/>
        </w:rPr>
        <w:t>（三）完善投入机制</w:t>
      </w:r>
      <w:bookmarkEnd w:id="82"/>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继续将水利作为公共财政投入的重点领域和基础设施建设的优先领域，全面落实地方水利建设基金征收、管理和使用制度及水利建设资金政策，财政对水利投入的总量和增幅进一步提高。健全完善水利中长期、低成本贷款机制，积极争取财政贴息政策。拓宽水利建设项目的抵（质）押物范围和还款来源，允许以水利、水电、供排水资产及其相关收益权等作为还款来源和合法抵押担保物。加强水利投融资载体建设，将适宜财政性资金作为资本金注入并专项用于水利项目建设。鼓励有条件的地方通过发行地方政府债券等方式加大水利投入。积极发展BOT（建设-经营-转交）、TOT（转让经营权）、BT（建设-转交）等新型水利项目融资模式。支持社会资本通过资产收购、特许经营、参股控投等多种形式参与水利工程建设。</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83" w:name="_Toc112233704"/>
      <w:r>
        <w:rPr>
          <w:rFonts w:ascii="Times New Roman" w:hAnsi="Times New Roman" w:eastAsia="方正楷体简体"/>
          <w:b w:val="0"/>
          <w:sz w:val="32"/>
          <w:szCs w:val="32"/>
        </w:rPr>
        <w:t>（四）加强协调配合</w:t>
      </w:r>
      <w:bookmarkEnd w:id="83"/>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建立部门间协作配合机制，及时协调解决水利改革发展中的重大问题和突出矛盾。水利部门要切实增强责任意识，主动履职尽责，统筹抓好水利规划建设、河湖及水利工程运行、深化水利改革、水资源管理和水利公共服务等各项工作。各有关部门和单位要按照职能分工，在行政审批、资金投入、水利用地、移民征迁、考核奖惩、政策支持等方面制定措施，落实职责，积极推动水利改革发展。</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84" w:name="_Toc112233705"/>
      <w:r>
        <w:rPr>
          <w:rFonts w:ascii="Times New Roman" w:hAnsi="Times New Roman" w:eastAsia="方正楷体简体"/>
          <w:b w:val="0"/>
          <w:sz w:val="32"/>
          <w:szCs w:val="32"/>
        </w:rPr>
        <w:t>（五）合力治水兴水</w:t>
      </w:r>
      <w:bookmarkEnd w:id="84"/>
    </w:p>
    <w:p>
      <w:pPr>
        <w:pStyle w:val="16"/>
        <w:overflowPunct w:val="0"/>
        <w:adjustRightInd w:val="0"/>
        <w:snapToGrid w:val="0"/>
        <w:spacing w:line="560" w:lineRule="exact"/>
        <w:ind w:firstLine="640"/>
        <w:rPr>
          <w:rFonts w:ascii="Times New Roman" w:eastAsia="方正仿宋简体"/>
          <w:color w:val="auto"/>
          <w:sz w:val="32"/>
          <w:szCs w:val="32"/>
        </w:rPr>
      </w:pPr>
      <w:r>
        <w:rPr>
          <w:rFonts w:ascii="Times New Roman" w:eastAsia="方正仿宋简体"/>
          <w:color w:val="auto"/>
          <w:sz w:val="32"/>
          <w:szCs w:val="32"/>
        </w:rPr>
        <w:t>加强舆论宣传引导与水情教育，进一步提高全社会水患意识、节水意识和水资源保护意识，建立全社会关心水利、支持水利、发展水利的良好环境。健全水行政主管部门主导、公众参与、专家论证的水利决策机制，充分听取各方面意见建议，积极引导全社会参与水利建设管理。依法推进水利政务公开，及时发布水利信息，切实增强全社会对水事的知情权、监督权。建立信息及时发布和情况通报制度，明确各类预案响应机制，增强全社会应对水事应急和风险处置能力。强化水利安全生产监管，进一步完善安全生产责任体系，加大隐患排查治理力度，增强应急处置能力，推行安全生产标准化建设，探索建立职业化、专业化的质量安全检查制度和检查队伍，加大社会参与和监督力度，努力保持持续稳定的水利安全生产局面。</w:t>
      </w:r>
    </w:p>
    <w:p>
      <w:pPr>
        <w:adjustRightInd/>
        <w:snapToGrid/>
        <w:spacing w:line="400" w:lineRule="exact"/>
        <w:ind w:firstLine="600"/>
        <w:rPr>
          <w:rFonts w:ascii="Times New Roman" w:hAnsi="Times New Roman" w:eastAsia="方正仿宋简体" w:cs="Times New Roman"/>
          <w:kern w:val="0"/>
          <w:sz w:val="32"/>
          <w:szCs w:val="32"/>
        </w:rPr>
      </w:pPr>
      <w:r>
        <w:rPr>
          <w:rFonts w:ascii="Times New Roman" w:hAnsi="Times New Roman" w:cs="Times New Roman"/>
        </w:rPr>
        <w:br w:type="page"/>
      </w:r>
    </w:p>
    <w:p>
      <w:pPr>
        <w:adjustRightInd/>
        <w:snapToGrid/>
        <w:spacing w:after="120" w:line="240" w:lineRule="auto"/>
        <w:ind w:left="600" w:leftChars="200" w:firstLine="420"/>
        <w:rPr>
          <w:rFonts w:ascii="Times New Roman" w:hAnsi="Times New Roman" w:eastAsia="宋体" w:cs="Times New Roman"/>
          <w:sz w:val="21"/>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4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640"/>
        <w:rPr>
          <w:rFonts w:ascii="Times New Roman" w:hAnsi="Times New Roman" w:eastAsia="方正仿宋简体" w:cs="Times New Roman"/>
          <w:kern w:val="0"/>
          <w:sz w:val="32"/>
          <w:szCs w:val="32"/>
        </w:rPr>
      </w:pPr>
    </w:p>
    <w:p>
      <w:pPr>
        <w:adjustRightInd/>
        <w:snapToGrid/>
        <w:spacing w:line="600" w:lineRule="exact"/>
        <w:ind w:firstLine="420"/>
        <w:rPr>
          <w:rFonts w:ascii="Times New Roman" w:hAnsi="Times New Roman" w:eastAsia="方正仿宋简体" w:cs="Times New Roman"/>
          <w:kern w:val="0"/>
          <w:sz w:val="32"/>
          <w:szCs w:val="32"/>
        </w:rPr>
      </w:pPr>
      <w:r>
        <w:rPr>
          <w:rFonts w:ascii="Times New Roman" w:hAnsi="Times New Roman" w:eastAsia="宋体" w:cs="Times New Roman"/>
          <w:sz w:val="21"/>
          <w:szCs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388620</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top:30.6pt;height:0pt;width:441pt;mso-position-horizontal:center;mso-position-horizontal-relative:margin;z-index:251659264;mso-width-relative:page;mso-height-relative:page;" filled="f" stroked="t" coordsize="21600,21600" o:gfxdata="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r&#10;xV0l1AAAAAYBAAAPAAAAAAAAAAEAIAAAACIAAABkcnMvZG93bnJldi54bWxQSwECFAAUAAAACACH&#10;TuJAmrAqv+8BAADnAwAADgAAAAAAAAABACAAAAAjAQAAZHJzL2Uyb0RvYy54bWxQSwUGAAAAAAYA&#10;BgBZAQAAhAUAAAAA&#10;">
                <v:fill on="f" focussize="0,0"/>
                <v:stroke weight="1pt" color="#000000" joinstyle="round"/>
                <v:imagedata o:title=""/>
                <o:lock v:ext="edit" aspectratio="f"/>
              </v:line>
            </w:pict>
          </mc:Fallback>
        </mc:AlternateContent>
      </w:r>
    </w:p>
    <w:p>
      <w:pPr>
        <w:spacing w:line="540" w:lineRule="exact"/>
        <w:ind w:left="150" w:leftChars="50" w:right="150" w:rightChars="50" w:firstLine="0" w:firstLineChars="0"/>
        <w:rPr>
          <w:rFonts w:ascii="Times New Roman" w:hAnsi="Times New Roman" w:cs="Times New Roman"/>
          <w:sz w:val="28"/>
          <w:szCs w:val="28"/>
        </w:rPr>
      </w:pPr>
      <w:r>
        <w:rPr>
          <w:rFonts w:ascii="Times New Roman" w:hAnsi="Times New Roman" w:cs="Times New Roman"/>
          <w:sz w:val="28"/>
          <w:szCs w:val="28"/>
        </w:rPr>
        <w:t>抄送：区委办公室，区人大常委会办公室，区政协办公室，区法院，</w:t>
      </w:r>
    </w:p>
    <w:p>
      <w:pPr>
        <w:spacing w:line="540" w:lineRule="exact"/>
        <w:ind w:left="150" w:leftChars="50" w:right="150" w:rightChars="50" w:firstLine="860" w:firstLineChars="410"/>
        <w:rPr>
          <w:rFonts w:ascii="Times New Roman" w:hAnsi="Times New Roman" w:cs="Times New Roman"/>
          <w:sz w:val="28"/>
          <w:szCs w:val="28"/>
        </w:rPr>
      </w:pPr>
      <w:r>
        <w:rPr>
          <w:rFonts w:ascii="Times New Roman" w:hAnsi="Times New Roman" w:eastAsia="宋体" w:cs="Times New Roman"/>
          <w:sz w:val="21"/>
          <w:szCs w:val="21"/>
        </w:rPr>
        <mc:AlternateContent>
          <mc:Choice Requires="wps">
            <w:drawing>
              <wp:anchor distT="0" distB="0" distL="114300" distR="114300" simplePos="0" relativeHeight="251660288" behindDoc="0" locked="0" layoutInCell="1" allowOverlap="1">
                <wp:simplePos x="0" y="0"/>
                <wp:positionH relativeFrom="margin">
                  <wp:posOffset>-38100</wp:posOffset>
                </wp:positionH>
                <wp:positionV relativeFrom="paragraph">
                  <wp:posOffset>353060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pt;margin-top:27.8pt;height:0pt;width:441pt;mso-position-horizontal-relative:margin;z-index:251660288;mso-width-relative:page;mso-height-relative:page;" filled="f" stroked="t" coordsize="21600,21600" o:gfxdata="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0PK9QAAAAIAQAADwAAAAAAAAABACAAAAAiAAAAZHJzL2Rvd25yZXYueG1sUEsBAhQAFAAAAAgA&#10;h07iQBw6VdfwAQAA5gMAAA4AAAAAAAAAAQAgAAAAIwEAAGRycy9lMm9Eb2MueG1sUEsFBgAAAAAG&#10;AAYAWQEAAIUFAAAAAA==&#10;">
                <v:fill on="f" focussize="0,0"/>
                <v:stroke weight="0.5pt" color="#000000" joinstyle="round"/>
                <v:imagedata o:title=""/>
                <o:lock v:ext="edit" aspectratio="f"/>
              </v:line>
            </w:pict>
          </mc:Fallback>
        </mc:AlternateContent>
      </w:r>
      <w:r>
        <w:rPr>
          <w:rFonts w:ascii="Times New Roman" w:hAnsi="Times New Roman" w:cs="Times New Roman"/>
          <w:sz w:val="28"/>
          <w:szCs w:val="28"/>
        </w:rPr>
        <w:t>区检察院。</w:t>
      </w:r>
    </w:p>
    <w:p>
      <w:pPr>
        <w:spacing w:line="540" w:lineRule="exact"/>
        <w:ind w:left="150" w:leftChars="50" w:right="150" w:rightChars="50" w:firstLine="0" w:firstLineChars="0"/>
        <w:rPr>
          <w:rFonts w:ascii="Times New Roman" w:hAnsi="Times New Roman" w:cs="Times New Roman"/>
        </w:rPr>
      </w:pPr>
      <w:r>
        <w:rPr>
          <w:rFonts w:ascii="Times New Roman" w:hAnsi="Times New Roman" w:eastAsia="宋体" w:cs="Times New Roman"/>
          <w:sz w:val="21"/>
          <w:szCs w:val="21"/>
        </w:rPr>
        <mc:AlternateContent>
          <mc:Choice Requires="wps">
            <w:drawing>
              <wp:anchor distT="0" distB="0" distL="114300" distR="114300" simplePos="0" relativeHeight="251661312" behindDoc="0" locked="0" layoutInCell="1" allowOverlap="1">
                <wp:simplePos x="0" y="0"/>
                <wp:positionH relativeFrom="margin">
                  <wp:posOffset>-38100</wp:posOffset>
                </wp:positionH>
                <wp:positionV relativeFrom="paragraph">
                  <wp:posOffset>433705</wp:posOffset>
                </wp:positionV>
                <wp:extent cx="56007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pt;margin-top:34.15pt;height:0pt;width:441pt;mso-position-horizontal-relative:margin;z-index:251661312;mso-width-relative:page;mso-height-relative:page;" filled="f" stroked="t" coordsize="21600,21600" o:gfxdata="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Xf9oNYAAAAIAQAADwAAAAAAAAABACAAAAAiAAAAZHJzL2Rvd25yZXYueG1sUEsBAhQAFAAAAAgA&#10;h07iQNUKPsbuAQAA5wMAAA4AAAAAAAAAAQAgAAAAJQEAAGRycy9lMm9Eb2MueG1sUEsFBgAAAAAG&#10;AAYAWQEAAIUFAAAAAA==&#10;">
                <v:fill on="f" focussize="0,0"/>
                <v:stroke weight="1pt" color="#000000" joinstyle="round"/>
                <v:imagedata o:title=""/>
                <o:lock v:ext="edit" aspectratio="f"/>
              </v:line>
            </w:pict>
          </mc:Fallback>
        </mc:AlternateContent>
      </w:r>
      <w:r>
        <w:rPr>
          <w:rFonts w:ascii="Times New Roman" w:hAnsi="Times New Roman" w:cs="Times New Roman"/>
          <w:sz w:val="28"/>
          <w:szCs w:val="28"/>
        </w:rPr>
        <w:t>济宁市兖州区人民政府办公室               2023年</w:t>
      </w:r>
      <w:r>
        <w:rPr>
          <w:rFonts w:hint="eastAsia" w:ascii="Times New Roman" w:hAnsi="Times New Roman" w:cs="Times New Roman"/>
          <w:sz w:val="28"/>
          <w:szCs w:val="28"/>
        </w:rPr>
        <w:t>4</w:t>
      </w:r>
      <w:r>
        <w:rPr>
          <w:rFonts w:ascii="Times New Roman" w:hAnsi="Times New Roman" w:cs="Times New Roman"/>
          <w:sz w:val="28"/>
          <w:szCs w:val="28"/>
        </w:rPr>
        <w:t>月</w:t>
      </w:r>
      <w:r>
        <w:rPr>
          <w:rFonts w:hint="eastAsia" w:ascii="Times New Roman" w:hAnsi="Times New Roman" w:cs="Times New Roman"/>
          <w:sz w:val="28"/>
          <w:szCs w:val="28"/>
        </w:rPr>
        <w:t>26</w:t>
      </w:r>
      <w:r>
        <w:rPr>
          <w:rFonts w:ascii="Times New Roman" w:hAnsi="Times New Roman" w:cs="Times New Roman"/>
          <w:sz w:val="28"/>
          <w:szCs w:val="28"/>
        </w:rPr>
        <w:t>日印发</w:t>
      </w:r>
    </w:p>
    <w:sectPr>
      <w:headerReference r:id="rId7" w:type="first"/>
      <w:footerReference r:id="rId10" w:type="first"/>
      <w:headerReference r:id="rId5" w:type="default"/>
      <w:footerReference r:id="rId8" w:type="default"/>
      <w:headerReference r:id="rId6" w:type="even"/>
      <w:footerReference r:id="rId9" w:type="even"/>
      <w:pgSz w:w="11906" w:h="16838"/>
      <w:pgMar w:top="2155" w:right="1588" w:bottom="1304" w:left="1588" w:header="1361" w:footer="1418"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方正小标宋_GBK">
    <w:altName w:val="微软雅黑"/>
    <w:panose1 w:val="03000509000000000000"/>
    <w:charset w:val="86"/>
    <w:family w:val="script"/>
    <w:pitch w:val="default"/>
    <w:sig w:usb0="00000000" w:usb1="00000000" w:usb2="0000001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5"/>
        <w:rFonts w:ascii="Times New Roman" w:hAnsi="Times New Roman" w:eastAsia="方正小标宋_GBK" w:cs="Times New Roman"/>
        <w:sz w:val="28"/>
        <w:szCs w:val="28"/>
      </w:rPr>
      <w:id w:val="-1992630109"/>
    </w:sdtPr>
    <w:sdtEndPr>
      <w:rPr>
        <w:rStyle w:val="14"/>
        <w:rFonts w:ascii="Times New Roman" w:hAnsi="Times New Roman" w:eastAsia="仿宋_GB2312" w:cs="Times New Roman"/>
        <w:sz w:val="28"/>
        <w:szCs w:val="28"/>
      </w:rPr>
    </w:sdtEndPr>
    <w:sdtContent>
      <w:p>
        <w:pPr>
          <w:pStyle w:val="10"/>
          <w:framePr w:wrap="around" w:vAnchor="text" w:hAnchor="margin" w:xAlign="outside" w:y="1"/>
          <w:ind w:firstLine="0" w:firstLineChars="0"/>
          <w:rPr>
            <w:rStyle w:val="15"/>
            <w:rFonts w:ascii="Times New Roman" w:hAnsi="Times New Roman" w:eastAsia="方正小标宋_GBK" w:cs="Times New Roman"/>
            <w:sz w:val="28"/>
            <w:szCs w:val="28"/>
          </w:rPr>
        </w:pPr>
        <w:r>
          <w:rPr>
            <w:rStyle w:val="15"/>
            <w:rFonts w:ascii="Times New Roman" w:hAnsi="Times New Roman" w:eastAsia="方正小标宋_GBK" w:cs="Times New Roman"/>
            <w:sz w:val="28"/>
            <w:szCs w:val="28"/>
          </w:rPr>
          <w:t xml:space="preserve">— </w:t>
        </w:r>
        <w:r>
          <w:rPr>
            <w:rFonts w:ascii="Times New Roman" w:hAnsi="Times New Roman" w:eastAsia="方正小标宋_GBK" w:cs="Times New Roman"/>
            <w:sz w:val="28"/>
            <w:szCs w:val="28"/>
          </w:rPr>
          <w:fldChar w:fldCharType="begin"/>
        </w:r>
        <w:r>
          <w:rPr>
            <w:rStyle w:val="15"/>
            <w:rFonts w:ascii="Times New Roman" w:hAnsi="Times New Roman" w:eastAsia="方正小标宋_GBK" w:cs="Times New Roman"/>
            <w:sz w:val="28"/>
            <w:szCs w:val="28"/>
          </w:rPr>
          <w:instrText xml:space="preserve">PAGE  </w:instrText>
        </w:r>
        <w:r>
          <w:rPr>
            <w:rFonts w:ascii="Times New Roman" w:hAnsi="Times New Roman" w:eastAsia="方正小标宋_GBK" w:cs="Times New Roman"/>
            <w:sz w:val="28"/>
            <w:szCs w:val="28"/>
          </w:rPr>
          <w:fldChar w:fldCharType="separate"/>
        </w:r>
        <w:r>
          <w:rPr>
            <w:rStyle w:val="15"/>
            <w:rFonts w:ascii="Times New Roman" w:hAnsi="Times New Roman" w:eastAsia="方正小标宋_GBK" w:cs="Times New Roman"/>
            <w:sz w:val="28"/>
            <w:szCs w:val="28"/>
          </w:rPr>
          <w:t>38</w:t>
        </w:r>
        <w:r>
          <w:rPr>
            <w:rFonts w:ascii="Times New Roman" w:hAnsi="Times New Roman" w:eastAsia="方正小标宋_GBK" w:cs="Times New Roman"/>
            <w:sz w:val="28"/>
            <w:szCs w:val="28"/>
          </w:rPr>
          <w:fldChar w:fldCharType="end"/>
        </w:r>
        <w:r>
          <w:rPr>
            <w:rStyle w:val="15"/>
            <w:rFonts w:ascii="Times New Roman" w:hAnsi="Times New Roman" w:eastAsia="方正小标宋_GBK" w:cs="Times New Roman"/>
            <w:sz w:val="28"/>
            <w:szCs w:val="28"/>
          </w:rPr>
          <w:t xml:space="preserve"> —</w:t>
        </w:r>
      </w:p>
      <w:p>
        <w:pPr>
          <w:pStyle w:val="10"/>
          <w:ind w:firstLine="0" w:firstLineChars="0"/>
          <w:rPr>
            <w:rFonts w:ascii="Times New Roman" w:hAnsi="Times New Roman" w:cs="Times New Roman"/>
            <w:sz w:val="28"/>
            <w:szCs w:val="28"/>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00"/>
      </w:pPr>
      <w:r>
        <w:separator/>
      </w:r>
    </w:p>
  </w:footnote>
  <w:footnote w:type="continuationSeparator" w:id="1">
    <w:p>
      <w:pPr>
        <w:spacing w:line="36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hNGFkYmQ5ZjgxN2JmNDUxM2E0YzJkMzU5YzI1Y2IifQ=="/>
  </w:docVars>
  <w:rsids>
    <w:rsidRoot w:val="00036A68"/>
    <w:rsid w:val="00036A68"/>
    <w:rsid w:val="00141441"/>
    <w:rsid w:val="00254072"/>
    <w:rsid w:val="0043686D"/>
    <w:rsid w:val="004B1722"/>
    <w:rsid w:val="00534CFA"/>
    <w:rsid w:val="005F1FB2"/>
    <w:rsid w:val="00750474"/>
    <w:rsid w:val="007C281B"/>
    <w:rsid w:val="007E659B"/>
    <w:rsid w:val="00831356"/>
    <w:rsid w:val="00873E44"/>
    <w:rsid w:val="008E2D66"/>
    <w:rsid w:val="008F5551"/>
    <w:rsid w:val="009C0BBD"/>
    <w:rsid w:val="00B113ED"/>
    <w:rsid w:val="00B61F44"/>
    <w:rsid w:val="00BD4DA5"/>
    <w:rsid w:val="00C4091C"/>
    <w:rsid w:val="143105D4"/>
    <w:rsid w:val="15682557"/>
    <w:rsid w:val="18685633"/>
    <w:rsid w:val="1EE52180"/>
    <w:rsid w:val="351D63F6"/>
    <w:rsid w:val="4ED27FAE"/>
    <w:rsid w:val="535471A7"/>
    <w:rsid w:val="71EE0231"/>
    <w:rsid w:val="77CF7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200" w:firstLineChars="200"/>
      <w:jc w:val="both"/>
    </w:pPr>
    <w:rPr>
      <w:rFonts w:ascii="Calibri" w:hAnsi="Calibri" w:eastAsia="仿宋_GB2312" w:cs="Arial"/>
      <w:kern w:val="2"/>
      <w:sz w:val="30"/>
      <w:szCs w:val="24"/>
      <w:lang w:val="en-US" w:eastAsia="zh-CN" w:bidi="ar-SA"/>
    </w:rPr>
  </w:style>
  <w:style w:type="paragraph" w:styleId="6">
    <w:name w:val="heading 1"/>
    <w:basedOn w:val="1"/>
    <w:next w:val="1"/>
    <w:qFormat/>
    <w:uiPriority w:val="0"/>
    <w:pPr>
      <w:keepNext/>
      <w:keepLines/>
      <w:spacing w:before="120" w:after="120"/>
      <w:outlineLvl w:val="0"/>
    </w:pPr>
    <w:rPr>
      <w:rFonts w:eastAsia="黑体"/>
      <w:bCs/>
      <w:kern w:val="44"/>
      <w:sz w:val="32"/>
      <w:szCs w:val="44"/>
    </w:rPr>
  </w:style>
  <w:style w:type="paragraph" w:styleId="7">
    <w:name w:val="heading 2"/>
    <w:basedOn w:val="1"/>
    <w:next w:val="1"/>
    <w:qFormat/>
    <w:uiPriority w:val="0"/>
    <w:pPr>
      <w:spacing w:beforeAutospacing="1" w:afterAutospacing="1"/>
      <w:jc w:val="left"/>
      <w:outlineLvl w:val="1"/>
    </w:pPr>
    <w:rPr>
      <w:rFonts w:ascii="宋体" w:eastAsia="宋体" w:cs="Times New Roman"/>
      <w:b/>
      <w:bCs/>
      <w:kern w:val="0"/>
      <w:sz w:val="36"/>
      <w:szCs w:val="36"/>
    </w:rPr>
  </w:style>
  <w:style w:type="character" w:default="1" w:styleId="14">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4"/>
    <w:qFormat/>
    <w:uiPriority w:val="0"/>
  </w:style>
  <w:style w:type="paragraph" w:styleId="3">
    <w:name w:val="Body Text Indent"/>
    <w:basedOn w:val="1"/>
    <w:next w:val="1"/>
    <w:qFormat/>
    <w:uiPriority w:val="0"/>
    <w:pPr>
      <w:spacing w:after="120"/>
      <w:ind w:left="200" w:leftChars="200"/>
    </w:pPr>
  </w:style>
  <w:style w:type="paragraph" w:styleId="4">
    <w:name w:val="Body Text First Indent"/>
    <w:basedOn w:val="5"/>
    <w:qFormat/>
    <w:uiPriority w:val="0"/>
    <w:pPr>
      <w:ind w:firstLine="100" w:firstLineChars="100"/>
    </w:pPr>
  </w:style>
  <w:style w:type="paragraph" w:styleId="5">
    <w:name w:val="Body Text"/>
    <w:basedOn w:val="1"/>
    <w:next w:val="1"/>
    <w:qFormat/>
    <w:uiPriority w:val="0"/>
    <w:rPr>
      <w:sz w:val="28"/>
    </w:rPr>
  </w:style>
  <w:style w:type="paragraph" w:styleId="8">
    <w:name w:val="Plain Text"/>
    <w:basedOn w:val="1"/>
    <w:qFormat/>
    <w:uiPriority w:val="0"/>
    <w:rPr>
      <w:rFonts w:ascii="宋体" w:eastAsia="宋体" w:cs="Courier New"/>
      <w:sz w:val="21"/>
      <w:szCs w:val="21"/>
    </w:rPr>
  </w:style>
  <w:style w:type="paragraph" w:styleId="9">
    <w:name w:val="Balloon Text"/>
    <w:basedOn w:val="1"/>
    <w:link w:val="22"/>
    <w:qFormat/>
    <w:uiPriority w:val="0"/>
    <w:pPr>
      <w:spacing w:line="240" w:lineRule="auto"/>
    </w:pPr>
    <w:rPr>
      <w:sz w:val="18"/>
      <w:szCs w:val="18"/>
    </w:rPr>
  </w:style>
  <w:style w:type="paragraph" w:styleId="10">
    <w:name w:val="footer"/>
    <w:basedOn w:val="1"/>
    <w:link w:val="21"/>
    <w:qFormat/>
    <w:uiPriority w:val="99"/>
    <w:pPr>
      <w:tabs>
        <w:tab w:val="center" w:pos="4153"/>
        <w:tab w:val="right" w:pos="8306"/>
      </w:tabs>
      <w:spacing w:line="240" w:lineRule="auto"/>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pacing w:line="240" w:lineRule="auto"/>
      <w:jc w:val="center"/>
    </w:pPr>
    <w:rPr>
      <w:sz w:val="18"/>
      <w:szCs w:val="18"/>
    </w:rPr>
  </w:style>
  <w:style w:type="paragraph" w:styleId="12">
    <w:name w:val="Normal (Web)"/>
    <w:basedOn w:val="1"/>
    <w:qFormat/>
    <w:uiPriority w:val="0"/>
    <w:rPr>
      <w:sz w:val="24"/>
    </w:rPr>
  </w:style>
  <w:style w:type="character" w:styleId="15">
    <w:name w:val="page number"/>
    <w:basedOn w:val="14"/>
    <w:qFormat/>
    <w:uiPriority w:val="0"/>
  </w:style>
  <w:style w:type="paragraph" w:customStyle="1" w:styleId="16">
    <w:name w:val="正文yyh"/>
    <w:qFormat/>
    <w:uiPriority w:val="0"/>
    <w:pPr>
      <w:widowControl w:val="0"/>
      <w:spacing w:line="360" w:lineRule="auto"/>
      <w:ind w:firstLine="200" w:firstLineChars="200"/>
      <w:jc w:val="both"/>
    </w:pPr>
    <w:rPr>
      <w:rFonts w:ascii="宋体" w:hAnsi="Times New Roman" w:eastAsia="宋体" w:cs="Times New Roman"/>
      <w:bCs/>
      <w:color w:val="000000"/>
      <w:kern w:val="2"/>
      <w:sz w:val="30"/>
      <w:szCs w:val="30"/>
      <w:lang w:val="zh-CN" w:eastAsia="zh-CN" w:bidi="ar-SA"/>
    </w:rPr>
  </w:style>
  <w:style w:type="paragraph" w:customStyle="1" w:styleId="17">
    <w:name w:val="表格"/>
    <w:basedOn w:val="1"/>
    <w:qFormat/>
    <w:uiPriority w:val="0"/>
    <w:pPr>
      <w:adjustRightInd/>
      <w:snapToGrid/>
      <w:spacing w:line="240" w:lineRule="auto"/>
      <w:ind w:firstLine="0" w:firstLineChars="0"/>
      <w:jc w:val="center"/>
    </w:pPr>
    <w:rPr>
      <w:rFonts w:ascii="Times New Roman" w:hAnsi="Times New Roman" w:eastAsia="宋体" w:cs="Times New Roman"/>
      <w:sz w:val="21"/>
      <w:szCs w:val="30"/>
      <w:lang w:val="zh-CN"/>
    </w:rPr>
  </w:style>
  <w:style w:type="paragraph" w:customStyle="1" w:styleId="18">
    <w:name w:val="表头标号yyh"/>
    <w:qFormat/>
    <w:uiPriority w:val="0"/>
    <w:pPr>
      <w:tabs>
        <w:tab w:val="left" w:pos="7410"/>
      </w:tabs>
    </w:pPr>
    <w:rPr>
      <w:rFonts w:ascii="Times New Roman" w:hAnsi="Times New Roman" w:eastAsia="宋体" w:cs="Times New Roman"/>
      <w:color w:val="000000"/>
      <w:sz w:val="21"/>
      <w:szCs w:val="30"/>
      <w:lang w:val="en-US" w:eastAsia="zh-CN" w:bidi="ar-SA"/>
    </w:rPr>
  </w:style>
  <w:style w:type="paragraph" w:customStyle="1" w:styleId="19">
    <w:name w:val="表格内容yyh"/>
    <w:basedOn w:val="1"/>
    <w:qFormat/>
    <w:uiPriority w:val="0"/>
    <w:pPr>
      <w:adjustRightInd/>
      <w:snapToGrid/>
      <w:spacing w:line="240" w:lineRule="auto"/>
      <w:ind w:firstLine="0" w:firstLineChars="0"/>
      <w:jc w:val="center"/>
    </w:pPr>
    <w:rPr>
      <w:rFonts w:ascii="Times New Roman" w:hAnsi="Times New Roman" w:eastAsia="宋体" w:cs="Times New Roman"/>
      <w:spacing w:val="5"/>
      <w:sz w:val="21"/>
      <w:szCs w:val="21"/>
    </w:rPr>
  </w:style>
  <w:style w:type="character" w:customStyle="1" w:styleId="20">
    <w:name w:val="页眉 Char"/>
    <w:basedOn w:val="14"/>
    <w:link w:val="11"/>
    <w:qFormat/>
    <w:uiPriority w:val="0"/>
    <w:rPr>
      <w:rFonts w:ascii="Calibri" w:hAnsi="Calibri" w:eastAsia="仿宋_GB2312" w:cs="Arial"/>
      <w:kern w:val="2"/>
      <w:sz w:val="18"/>
      <w:szCs w:val="18"/>
    </w:rPr>
  </w:style>
  <w:style w:type="character" w:customStyle="1" w:styleId="21">
    <w:name w:val="页脚 Char"/>
    <w:basedOn w:val="14"/>
    <w:link w:val="10"/>
    <w:qFormat/>
    <w:uiPriority w:val="99"/>
    <w:rPr>
      <w:rFonts w:ascii="Calibri" w:hAnsi="Calibri" w:eastAsia="仿宋_GB2312" w:cs="Arial"/>
      <w:kern w:val="2"/>
      <w:sz w:val="18"/>
      <w:szCs w:val="18"/>
    </w:rPr>
  </w:style>
  <w:style w:type="character" w:customStyle="1" w:styleId="22">
    <w:name w:val="批注框文本 Char"/>
    <w:basedOn w:val="14"/>
    <w:link w:val="9"/>
    <w:qFormat/>
    <w:uiPriority w:val="0"/>
    <w:rPr>
      <w:rFonts w:ascii="Calibri" w:hAnsi="Calibri" w:eastAsia="仿宋_GB2312" w:cs="Arial"/>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C1849E-C0C0-4AEA-95E2-AD2BE27971F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38</Pages>
  <Words>19502</Words>
  <Characters>20040</Characters>
  <Lines>8</Lines>
  <Paragraphs>40</Paragraphs>
  <TotalTime>49</TotalTime>
  <ScaleCrop>false</ScaleCrop>
  <LinksUpToDate>false</LinksUpToDate>
  <CharactersWithSpaces>20096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2023-03-15T12:56:00Z</dcterms:created>
  <dc:creator>lenovo</dc:creator>
  <cp:lastModifiedBy>Administrator</cp:lastModifiedBy>
  <cp:lastPrinted>2023-04-26T02:56:00Z</cp:lastPrinted>
  <dcterms:modified xsi:type="dcterms:W3CDTF">2023-05-18T03:27:00Z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F5EB6A52DFE9453EB2373B8EC8BA22E4_13</vt:lpwstr>
  </property>
</Properties>
</file>