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A4D09">
      <w:pPr>
        <w:tabs>
          <w:tab w:val="left" w:pos="7065"/>
        </w:tabs>
        <w:overflowPunct w:val="0"/>
        <w:adjustRightInd w:val="0"/>
        <w:spacing w:line="600" w:lineRule="exact"/>
        <w:ind w:firstLine="0" w:firstLineChars="0"/>
        <w:jc w:val="center"/>
        <w:rPr>
          <w:rFonts w:hint="default" w:ascii="Times New Roman" w:hAnsi="Times New Roman" w:eastAsia="方正小标宋_GBK" w:cs="Times New Roman"/>
          <w:color w:val="FF0000"/>
          <w:spacing w:val="-20"/>
          <w:w w:val="52"/>
          <w:kern w:val="0"/>
          <w:sz w:val="144"/>
          <w:szCs w:val="144"/>
          <w14:ligatures w14:val="none"/>
        </w:rPr>
      </w:pPr>
    </w:p>
    <w:p w14:paraId="15AE17EF">
      <w:pPr>
        <w:tabs>
          <w:tab w:val="left" w:pos="7065"/>
        </w:tabs>
        <w:overflowPunct w:val="0"/>
        <w:adjustRightInd w:val="0"/>
        <w:spacing w:line="240" w:lineRule="auto"/>
        <w:ind w:firstLine="0" w:firstLineChars="0"/>
        <w:jc w:val="center"/>
        <w:rPr>
          <w:rFonts w:hint="default" w:ascii="Times New Roman" w:hAnsi="Times New Roman" w:cs="Times New Roman"/>
          <w:bCs/>
          <w:color w:val="FF0000"/>
          <w:kern w:val="0"/>
          <w:szCs w:val="32"/>
          <w14:ligatures w14:val="none"/>
        </w:rPr>
      </w:pPr>
    </w:p>
    <w:p w14:paraId="0B95BC4B">
      <w:pPr>
        <w:pStyle w:val="2"/>
        <w:rPr>
          <w:rFonts w:hint="default" w:ascii="Times New Roman" w:hAnsi="Times New Roman" w:cs="Times New Roman"/>
          <w:bCs/>
          <w:color w:val="FF0000"/>
          <w:kern w:val="0"/>
          <w:szCs w:val="32"/>
          <w14:ligatures w14:val="none"/>
        </w:rPr>
      </w:pPr>
    </w:p>
    <w:p w14:paraId="5044A2A3">
      <w:pPr>
        <w:pStyle w:val="5"/>
        <w:rPr>
          <w:rFonts w:hint="default" w:ascii="Times New Roman" w:hAnsi="Times New Roman" w:cs="Times New Roman"/>
          <w:bCs/>
          <w:color w:val="FF0000"/>
          <w:kern w:val="0"/>
          <w:szCs w:val="32"/>
          <w14:ligatures w14:val="none"/>
        </w:rPr>
      </w:pPr>
    </w:p>
    <w:p w14:paraId="21DA38F4">
      <w:pPr>
        <w:rPr>
          <w:rFonts w:hint="default"/>
        </w:rPr>
      </w:pPr>
    </w:p>
    <w:p w14:paraId="722EA847">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bCs/>
          <w:kern w:val="0"/>
          <w:szCs w:val="32"/>
          <w14:ligatures w14:val="none"/>
        </w:rPr>
      </w:pPr>
    </w:p>
    <w:p w14:paraId="38C48C43">
      <w:pPr>
        <w:overflowPunct w:val="0"/>
        <w:spacing w:line="520" w:lineRule="exact"/>
        <w:ind w:firstLine="0" w:firstLineChars="0"/>
        <w:jc w:val="center"/>
        <w:rPr>
          <w:rFonts w:hint="default" w:ascii="Times New Roman" w:hAnsi="Times New Roman" w:eastAsia="方正仿宋简体" w:cs="Times New Roman"/>
          <w:szCs w:val="32"/>
          <w14:ligatures w14:val="none"/>
        </w:rPr>
      </w:pPr>
      <w:r>
        <w:rPr>
          <w:rFonts w:hint="default" w:ascii="Times New Roman" w:hAnsi="Times New Roman" w:eastAsia="方正仿宋简体" w:cs="Times New Roman"/>
          <w:szCs w:val="32"/>
          <w14:ligatures w14:val="none"/>
        </w:rPr>
        <w:t>济兖政发〔2026〕4号</w:t>
      </w:r>
    </w:p>
    <w:p w14:paraId="51AF9C01">
      <w:pPr>
        <w:overflowPunct w:val="0"/>
        <w:ind w:firstLine="0" w:firstLineChars="0"/>
        <w:rPr>
          <w:rFonts w:hint="default" w:ascii="Times New Roman" w:hAnsi="Times New Roman" w:cs="Times New Roman"/>
          <w:szCs w:val="32"/>
          <w14:ligatures w14:val="none"/>
        </w:rPr>
      </w:pPr>
      <w:r>
        <w:rPr>
          <w:rFonts w:hint="default" w:ascii="Times New Roman" w:hAnsi="Times New Roman" w:eastAsia="宋体" w:cs="Times New Roman"/>
          <w:sz w:val="21"/>
          <w14:ligatures w14:val="none"/>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64135</wp:posOffset>
                </wp:positionV>
                <wp:extent cx="554037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40375" cy="0"/>
                        </a:xfrm>
                        <a:prstGeom prst="line">
                          <a:avLst/>
                        </a:prstGeom>
                        <a:ln w="12700">
                          <a:noFill/>
                        </a:ln>
                      </wps:spPr>
                      <wps:bodyPr/>
                    </wps:wsp>
                  </a:graphicData>
                </a:graphic>
              </wp:anchor>
            </w:drawing>
          </mc:Choice>
          <mc:Fallback>
            <w:pict>
              <v:line id="_x0000_s1026" o:spid="_x0000_s1026" o:spt="20" style="position:absolute;left:0pt;margin-left:-2.95pt;margin-top:5.05pt;height:0pt;width:436.25pt;z-index:251662336;mso-width-relative:page;mso-height-relative:page;" filled="f" stroked="f" coordsize="21600,21600" o:gfxdata="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r+Ggl1gAAAAgBAAAPAAAAAAAA&#10;AAEAIAAAACIAAABkcnMvZG93bnJldi54bWxQSwECFAAUAAAACACHTuJA96YhpKIBAAAtAwAADgAA&#10;AAAAAAABACAAAAAlAQAAZHJzL2Uyb0RvYy54bWxQSwUGAAAAAAYABgBZAQAAOQUAAAAA&#10;">
                <v:fill on="f" focussize="0,0"/>
                <v:stroke on="f" weight="1pt"/>
                <v:imagedata o:title=""/>
                <o:lock v:ext="edit" aspectratio="f"/>
              </v:line>
            </w:pict>
          </mc:Fallback>
        </mc:AlternateContent>
      </w:r>
    </w:p>
    <w:p w14:paraId="3DDCB97D">
      <w:pPr>
        <w:overflowPunct w:val="0"/>
        <w:spacing w:line="420" w:lineRule="exact"/>
        <w:ind w:firstLine="0" w:firstLineChars="0"/>
        <w:jc w:val="center"/>
        <w:rPr>
          <w:rFonts w:hint="default" w:ascii="Times New Roman" w:hAnsi="Times New Roman" w:eastAsia="方正小标宋简体" w:cs="Times New Roman"/>
          <w:sz w:val="44"/>
          <w:szCs w:val="44"/>
          <w14:ligatures w14:val="none"/>
        </w:rPr>
      </w:pPr>
    </w:p>
    <w:p w14:paraId="10EDD2A8">
      <w:pPr>
        <w:tabs>
          <w:tab w:val="left" w:pos="4111"/>
        </w:tabs>
        <w:overflowPunct w:val="0"/>
        <w:ind w:firstLine="0" w:firstLineChars="0"/>
        <w:jc w:val="center"/>
        <w:rPr>
          <w:rFonts w:hint="default" w:ascii="Times New Roman" w:hAnsi="Times New Roman" w:eastAsia="方正小标宋简体" w:cs="Times New Roman"/>
          <w:bCs/>
          <w:kern w:val="0"/>
          <w:sz w:val="44"/>
          <w:szCs w:val="44"/>
          <w14:ligatures w14:val="none"/>
        </w:rPr>
      </w:pPr>
      <w:r>
        <w:rPr>
          <w:rFonts w:hint="default" w:ascii="Times New Roman" w:hAnsi="Times New Roman" w:eastAsia="方正小标宋简体" w:cs="Times New Roman"/>
          <w:bCs/>
          <w:kern w:val="0"/>
          <w:sz w:val="44"/>
          <w:szCs w:val="44"/>
          <w14:ligatures w14:val="none"/>
        </w:rPr>
        <w:t>济宁市兖州区人民政府</w:t>
      </w:r>
    </w:p>
    <w:p w14:paraId="0CA102FD">
      <w:pPr>
        <w:tabs>
          <w:tab w:val="left" w:pos="4111"/>
        </w:tabs>
        <w:overflowPunct w:val="0"/>
        <w:ind w:firstLine="0" w:firstLineChars="0"/>
        <w:jc w:val="center"/>
        <w:rPr>
          <w:rFonts w:hint="default" w:ascii="Times New Roman" w:hAnsi="Times New Roman" w:eastAsia="方正小标宋简体" w:cs="Times New Roman"/>
          <w:bCs/>
          <w:kern w:val="0"/>
          <w:sz w:val="44"/>
          <w:szCs w:val="44"/>
          <w14:ligatures w14:val="none"/>
        </w:rPr>
      </w:pPr>
      <w:r>
        <w:rPr>
          <w:rFonts w:hint="default" w:ascii="Times New Roman" w:hAnsi="Times New Roman" w:eastAsia="方正小标宋简体" w:cs="Times New Roman"/>
          <w:bCs/>
          <w:kern w:val="0"/>
          <w:sz w:val="44"/>
          <w:szCs w:val="44"/>
          <w14:ligatures w14:val="none"/>
        </w:rPr>
        <w:t>关于印发《济宁市兖州区国民经济和社会发展</w:t>
      </w:r>
    </w:p>
    <w:p w14:paraId="55FAFDFF">
      <w:pPr>
        <w:tabs>
          <w:tab w:val="left" w:pos="4111"/>
        </w:tabs>
        <w:overflowPunct w:val="0"/>
        <w:ind w:firstLine="0" w:firstLineChars="0"/>
        <w:jc w:val="center"/>
        <w:rPr>
          <w:rFonts w:hint="default" w:ascii="Times New Roman" w:hAnsi="Times New Roman" w:eastAsia="方正小标宋简体" w:cs="Times New Roman"/>
          <w:bCs/>
          <w:kern w:val="0"/>
          <w:sz w:val="44"/>
          <w:szCs w:val="44"/>
          <w14:ligatures w14:val="none"/>
        </w:rPr>
      </w:pPr>
      <w:r>
        <w:rPr>
          <w:rFonts w:hint="default" w:ascii="Times New Roman" w:hAnsi="Times New Roman" w:eastAsia="方正小标宋简体" w:cs="Times New Roman"/>
          <w:bCs/>
          <w:kern w:val="0"/>
          <w:sz w:val="44"/>
          <w:szCs w:val="44"/>
          <w14:ligatures w14:val="none"/>
        </w:rPr>
        <w:t>第十五个五年规划纲要》的通知</w:t>
      </w:r>
    </w:p>
    <w:p w14:paraId="406A99BD">
      <w:pPr>
        <w:tabs>
          <w:tab w:val="left" w:pos="4111"/>
        </w:tabs>
        <w:overflowPunct w:val="0"/>
        <w:spacing w:line="240" w:lineRule="auto"/>
        <w:ind w:firstLine="0" w:firstLineChars="0"/>
        <w:jc w:val="left"/>
        <w:rPr>
          <w:rFonts w:hint="default" w:ascii="Times New Roman" w:hAnsi="Times New Roman" w:eastAsia="宋体" w:cs="Times New Roman"/>
          <w:bCs/>
          <w:kern w:val="0"/>
          <w:szCs w:val="30"/>
          <w14:ligatures w14:val="none"/>
        </w:rPr>
      </w:pPr>
    </w:p>
    <w:p w14:paraId="1966DC5C">
      <w:pPr>
        <w:tabs>
          <w:tab w:val="left" w:pos="4111"/>
        </w:tabs>
        <w:overflowPunct w:val="0"/>
        <w:ind w:firstLine="0" w:firstLineChars="0"/>
        <w:jc w:val="left"/>
        <w:rPr>
          <w:rFonts w:hint="default" w:ascii="Times New Roman" w:hAnsi="Times New Roman" w:eastAsia="方正仿宋简体" w:cs="Times New Roman"/>
          <w:bCs/>
          <w:kern w:val="0"/>
          <w:szCs w:val="30"/>
          <w14:ligatures w14:val="none"/>
        </w:rPr>
      </w:pPr>
      <w:r>
        <w:rPr>
          <w:rFonts w:hint="default" w:ascii="Times New Roman" w:hAnsi="Times New Roman" w:eastAsia="方正仿宋简体" w:cs="Times New Roman"/>
          <w:bCs/>
          <w:kern w:val="0"/>
          <w:szCs w:val="30"/>
          <w14:ligatures w14:val="none"/>
        </w:rPr>
        <w:t>各镇人民政府，各街道办事处，兖州工业园区管委会，区直各部门、单位：</w:t>
      </w:r>
    </w:p>
    <w:p w14:paraId="451F1D15">
      <w:pPr>
        <w:tabs>
          <w:tab w:val="left" w:pos="4111"/>
        </w:tabs>
        <w:overflowPunct w:val="0"/>
        <w:ind w:firstLine="640" w:firstLineChars="0"/>
        <w:rPr>
          <w:rFonts w:hint="default" w:ascii="Times New Roman" w:hAnsi="Times New Roman" w:eastAsia="方正仿宋简体" w:cs="Times New Roman"/>
          <w:bCs/>
          <w:kern w:val="0"/>
          <w:szCs w:val="30"/>
          <w14:ligatures w14:val="none"/>
        </w:rPr>
      </w:pPr>
      <w:r>
        <w:rPr>
          <w:rFonts w:hint="default" w:ascii="Times New Roman" w:hAnsi="Times New Roman" w:eastAsia="方正仿宋简体" w:cs="Times New Roman"/>
          <w:bCs/>
          <w:kern w:val="0"/>
          <w:szCs w:val="30"/>
          <w14:ligatures w14:val="none"/>
        </w:rPr>
        <w:t>《济宁市兖州区国民经济和社会发展第十五个五年规划纲要》已经区十九届人大五次会议审查批准，现印发给你们，请认真贯彻落实。</w:t>
      </w:r>
    </w:p>
    <w:p w14:paraId="19B1C22C">
      <w:pPr>
        <w:tabs>
          <w:tab w:val="left" w:pos="4111"/>
        </w:tabs>
        <w:overflowPunct w:val="0"/>
        <w:ind w:firstLine="640" w:firstLineChars="0"/>
        <w:rPr>
          <w:rFonts w:hint="default" w:ascii="Times New Roman" w:hAnsi="Times New Roman" w:eastAsia="方正仿宋简体" w:cs="Times New Roman"/>
          <w:bCs/>
          <w:kern w:val="0"/>
          <w:szCs w:val="30"/>
          <w14:ligatures w14:val="none"/>
        </w:rPr>
      </w:pPr>
    </w:p>
    <w:p w14:paraId="05C473CC">
      <w:pPr>
        <w:tabs>
          <w:tab w:val="left" w:pos="4111"/>
        </w:tabs>
        <w:overflowPunct w:val="0"/>
        <w:ind w:firstLine="640" w:firstLineChars="0"/>
        <w:rPr>
          <w:rFonts w:hint="default" w:ascii="Times New Roman" w:hAnsi="Times New Roman" w:eastAsia="方正仿宋简体" w:cs="Times New Roman"/>
          <w:bCs/>
          <w:kern w:val="0"/>
          <w:szCs w:val="30"/>
          <w14:ligatures w14:val="none"/>
        </w:rPr>
      </w:pPr>
    </w:p>
    <w:p w14:paraId="40CA4271">
      <w:pPr>
        <w:keepNext w:val="0"/>
        <w:keepLines w:val="0"/>
        <w:pageBreakBefore w:val="0"/>
        <w:widowControl w:val="0"/>
        <w:tabs>
          <w:tab w:val="left" w:pos="4111"/>
          <w:tab w:val="left" w:pos="7360"/>
        </w:tabs>
        <w:kinsoku/>
        <w:wordWrap/>
        <w:overflowPunct w:val="0"/>
        <w:topLinePunct w:val="0"/>
        <w:autoSpaceDE/>
        <w:autoSpaceDN/>
        <w:bidi w:val="0"/>
        <w:adjustRightInd/>
        <w:snapToGrid/>
        <w:ind w:right="640" w:rightChars="200" w:firstLine="641" w:firstLineChars="0"/>
        <w:jc w:val="right"/>
        <w:textAlignment w:val="auto"/>
        <w:rPr>
          <w:rFonts w:hint="default" w:ascii="Times New Roman" w:hAnsi="Times New Roman" w:eastAsia="方正仿宋简体" w:cs="Times New Roman"/>
          <w:bCs/>
          <w:kern w:val="0"/>
          <w:szCs w:val="30"/>
          <w14:ligatures w14:val="none"/>
        </w:rPr>
      </w:pPr>
      <w:r>
        <w:rPr>
          <w:rFonts w:hint="default" w:ascii="Times New Roman" w:hAnsi="Times New Roman" w:eastAsia="方正仿宋简体" w:cs="Times New Roman"/>
          <w:bCs/>
          <w:kern w:val="0"/>
          <w:szCs w:val="30"/>
          <w14:ligatures w14:val="none"/>
        </w:rPr>
        <w:t>济宁市兖州区人民政府</w:t>
      </w:r>
    </w:p>
    <w:p w14:paraId="60F74866">
      <w:pPr>
        <w:tabs>
          <w:tab w:val="left" w:pos="4111"/>
        </w:tabs>
        <w:overflowPunct w:val="0"/>
        <w:ind w:right="224" w:rightChars="70" w:firstLine="640" w:firstLineChars="0"/>
        <w:jc w:val="center"/>
        <w:rPr>
          <w:rFonts w:hint="default" w:ascii="Times New Roman" w:hAnsi="Times New Roman" w:eastAsia="方正仿宋简体" w:cs="Times New Roman"/>
          <w:bCs/>
          <w:kern w:val="0"/>
          <w:szCs w:val="30"/>
          <w14:ligatures w14:val="none"/>
        </w:rPr>
      </w:pPr>
      <w:r>
        <w:rPr>
          <w:rFonts w:hint="default" w:ascii="Times New Roman" w:hAnsi="Times New Roman" w:eastAsia="方正仿宋简体" w:cs="Times New Roman"/>
          <w:bCs/>
          <w:kern w:val="0"/>
          <w:szCs w:val="30"/>
          <w14:ligatures w14:val="none"/>
        </w:rPr>
        <w:t xml:space="preserve">               </w:t>
      </w:r>
      <w:r>
        <w:rPr>
          <w:rFonts w:hint="eastAsia" w:eastAsia="方正仿宋简体" w:cs="Times New Roman"/>
          <w:bCs/>
          <w:kern w:val="0"/>
          <w:szCs w:val="30"/>
          <w:lang w:val="en-US" w:eastAsia="zh-CN"/>
          <w14:ligatures w14:val="none"/>
        </w:rPr>
        <w:t xml:space="preserve">        </w:t>
      </w:r>
      <w:r>
        <w:rPr>
          <w:rFonts w:hint="default" w:ascii="Times New Roman" w:hAnsi="Times New Roman" w:eastAsia="方正仿宋简体" w:cs="Times New Roman"/>
          <w:bCs/>
          <w:kern w:val="0"/>
          <w:szCs w:val="30"/>
          <w14:ligatures w14:val="none"/>
        </w:rPr>
        <w:t xml:space="preserve"> 2026年6月30日</w:t>
      </w:r>
    </w:p>
    <w:p w14:paraId="19EEA46D">
      <w:pPr>
        <w:overflowPunct w:val="0"/>
        <w:spacing w:after="120"/>
        <w:ind w:firstLine="640"/>
        <w:rPr>
          <w:rFonts w:hint="default" w:ascii="Times New Roman" w:hAnsi="Times New Roman" w:eastAsia="宋体" w:cs="Times New Roman"/>
          <w:bCs/>
          <w:szCs w:val="30"/>
        </w:rPr>
      </w:pPr>
      <w:r>
        <w:rPr>
          <w:rFonts w:hint="default" w:ascii="Times New Roman" w:hAnsi="Times New Roman" w:eastAsia="方正仿宋简体" w:cs="Times New Roman"/>
          <w:bCs/>
          <w:szCs w:val="30"/>
        </w:rPr>
        <w:t>（此件公开发布）</w:t>
      </w:r>
      <w:r>
        <w:rPr>
          <w:rFonts w:hint="default" w:ascii="Times New Roman" w:hAnsi="Times New Roman" w:eastAsia="宋体" w:cs="Times New Roman"/>
          <w:bCs/>
          <w:szCs w:val="30"/>
        </w:rPr>
        <w:br w:type="page"/>
      </w:r>
    </w:p>
    <w:p w14:paraId="1D27C023">
      <w:pPr>
        <w:tabs>
          <w:tab w:val="left" w:pos="4111"/>
        </w:tabs>
        <w:overflowPunct w:val="0"/>
        <w:ind w:firstLine="0" w:firstLineChars="0"/>
        <w:jc w:val="left"/>
        <w:rPr>
          <w:rFonts w:hint="default" w:ascii="Times New Roman" w:hAnsi="Times New Roman" w:eastAsia="宋体" w:cs="Times New Roman"/>
          <w:bCs/>
          <w:szCs w:val="30"/>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-421005</wp:posOffset>
                </wp:positionV>
                <wp:extent cx="1089025" cy="816610"/>
                <wp:effectExtent l="0" t="0" r="15875" b="2540"/>
                <wp:wrapNone/>
                <wp:docPr id="4" name="文本框 4"/>
                <wp:cNvGraphicFramePr/>
                <a:graphic xmlns:a="http://schemas.openxmlformats.org/drawingml/2006/main">
                  <a:graphicData uri="http://schemas.microsoft.com/office/word/2010/wordprocessingShape">
                    <wps:wsp>
                      <wps:cNvSpPr txBox="1"/>
                      <wps:spPr>
                        <a:xfrm>
                          <a:off x="955040" y="1140460"/>
                          <a:ext cx="1089025"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95E11">
                            <w:pPr>
                              <w:spacing w:line="500" w:lineRule="exact"/>
                              <w:ind w:firstLine="0" w:firstLineChars="0"/>
                              <w:jc w:val="left"/>
                              <w:rPr>
                                <w:rFonts w:ascii="方正黑体简体" w:hAnsi="方正黑体简体" w:eastAsia="方正黑体简体" w:cs="方正黑体简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33.15pt;height:64.3pt;width:85.75pt;z-index:251661312;mso-width-relative:page;mso-height-relative:page;" filled="f" stroked="f" coordsize="21600,21600" o:gfxdata="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uT0hdsAAAAKAQAADwAAAAAAAAAB&#10;ACAAAAAiAAAAZHJzL2Rvd25yZXYueG1sUEsBAhQAFAAAAAgAh07iQEA3HBZGAgAAcQQAAA4AAAAA&#10;AAAAAQAgAAAAKgEAAGRycy9lMm9Eb2MueG1sUEsFBgAAAAAGAAYAWQEAAOIFAAAAAA==&#10;">
                <v:fill on="f" focussize="0,0"/>
                <v:stroke on="f" weight="0.5pt"/>
                <v:imagedata o:title=""/>
                <o:lock v:ext="edit" aspectratio="f"/>
                <v:textbox>
                  <w:txbxContent>
                    <w:p w14:paraId="78495E11">
                      <w:pPr>
                        <w:spacing w:line="500" w:lineRule="exact"/>
                        <w:ind w:firstLine="0" w:firstLineChars="0"/>
                        <w:jc w:val="left"/>
                        <w:rPr>
                          <w:rFonts w:ascii="方正黑体简体" w:hAnsi="方正黑体简体" w:eastAsia="方正黑体简体" w:cs="方正黑体简体"/>
                        </w:rPr>
                      </w:pPr>
                    </w:p>
                  </w:txbxContent>
                </v:textbox>
              </v:shape>
            </w:pict>
          </mc:Fallback>
        </mc:AlternateContent>
      </w:r>
    </w:p>
    <w:p w14:paraId="7CA40110">
      <w:pPr>
        <w:tabs>
          <w:tab w:val="left" w:pos="4111"/>
        </w:tabs>
        <w:overflowPunct w:val="0"/>
        <w:ind w:firstLine="0" w:firstLineChars="0"/>
        <w:jc w:val="center"/>
        <w:rPr>
          <w:rFonts w:hint="default" w:ascii="Times New Roman" w:hAnsi="Times New Roman" w:eastAsia="宋体" w:cs="Times New Roman"/>
          <w:bCs/>
          <w:szCs w:val="30"/>
        </w:rPr>
      </w:pPr>
    </w:p>
    <w:p w14:paraId="7E99B860">
      <w:pPr>
        <w:tabs>
          <w:tab w:val="left" w:pos="4111"/>
        </w:tabs>
        <w:overflowPunct w:val="0"/>
        <w:ind w:firstLine="0" w:firstLineChars="0"/>
        <w:jc w:val="center"/>
        <w:rPr>
          <w:rFonts w:hint="default" w:ascii="Times New Roman" w:hAnsi="Times New Roman" w:eastAsia="宋体" w:cs="Times New Roman"/>
          <w:bCs/>
          <w:szCs w:val="30"/>
        </w:rPr>
      </w:pPr>
    </w:p>
    <w:p w14:paraId="58A38806">
      <w:pPr>
        <w:tabs>
          <w:tab w:val="left" w:pos="4111"/>
        </w:tabs>
        <w:overflowPunct w:val="0"/>
        <w:ind w:firstLine="0" w:firstLineChars="0"/>
        <w:jc w:val="center"/>
        <w:rPr>
          <w:rFonts w:hint="default" w:ascii="Times New Roman" w:hAnsi="Times New Roman" w:eastAsia="宋体" w:cs="Times New Roman"/>
          <w:bCs/>
          <w:szCs w:val="30"/>
        </w:rPr>
      </w:pPr>
    </w:p>
    <w:p w14:paraId="75C9AC76">
      <w:pPr>
        <w:overflowPunct w:val="0"/>
        <w:spacing w:line="900" w:lineRule="exact"/>
        <w:ind w:firstLine="0" w:firstLineChars="0"/>
        <w:jc w:val="center"/>
        <w:rPr>
          <w:rFonts w:hint="default" w:ascii="Times New Roman" w:hAnsi="Times New Roman" w:eastAsia="方正小标宋_GBK" w:cs="Times New Roman"/>
          <w:bCs/>
          <w:spacing w:val="-6"/>
          <w:sz w:val="58"/>
          <w:szCs w:val="58"/>
        </w:rPr>
      </w:pPr>
      <w:bookmarkStart w:id="224" w:name="_GoBack"/>
      <w:r>
        <w:rPr>
          <w:rFonts w:hint="default" w:ascii="Times New Roman" w:hAnsi="Times New Roman" w:eastAsia="方正小标宋_GBK" w:cs="Times New Roman"/>
          <w:bCs/>
          <w:spacing w:val="-6"/>
          <w:sz w:val="58"/>
          <w:szCs w:val="58"/>
        </w:rPr>
        <w:t>济宁市兖州区国民经济和社会发展</w:t>
      </w:r>
    </w:p>
    <w:p w14:paraId="5A45570A">
      <w:pPr>
        <w:overflowPunct w:val="0"/>
        <w:spacing w:line="900" w:lineRule="exact"/>
        <w:ind w:firstLine="0" w:firstLineChars="0"/>
        <w:jc w:val="center"/>
        <w:rPr>
          <w:rFonts w:hint="default" w:ascii="Times New Roman" w:hAnsi="Times New Roman" w:eastAsia="方正小标宋_GBK" w:cs="Times New Roman"/>
          <w:bCs/>
          <w:sz w:val="58"/>
          <w:szCs w:val="58"/>
        </w:rPr>
      </w:pPr>
      <w:r>
        <w:rPr>
          <w:rFonts w:hint="default" w:ascii="Times New Roman" w:hAnsi="Times New Roman" w:eastAsia="方正小标宋_GBK" w:cs="Times New Roman"/>
          <w:bCs/>
          <w:sz w:val="58"/>
          <w:szCs w:val="58"/>
        </w:rPr>
        <w:t>第十五个五年规划纲要</w:t>
      </w:r>
    </w:p>
    <w:p w14:paraId="1293605D">
      <w:pPr>
        <w:overflowPunct w:val="0"/>
        <w:spacing w:before="579" w:beforeLines="100" w:after="579" w:afterLines="100"/>
        <w:ind w:firstLine="0" w:firstLineChars="0"/>
        <w:jc w:val="center"/>
        <w:rPr>
          <w:rFonts w:hint="default" w:ascii="Times New Roman" w:hAnsi="Times New Roman" w:eastAsia="方正小标宋简体" w:cs="Times New Roman"/>
          <w:bCs/>
          <w:szCs w:val="30"/>
        </w:rPr>
      </w:pPr>
    </w:p>
    <w:p w14:paraId="7A5DD4FF">
      <w:pPr>
        <w:overflowPunct w:val="0"/>
        <w:spacing w:before="579" w:beforeLines="100" w:after="579" w:afterLines="100"/>
        <w:ind w:firstLine="0" w:firstLineChars="0"/>
        <w:jc w:val="center"/>
        <w:rPr>
          <w:rFonts w:hint="default" w:ascii="Times New Roman" w:hAnsi="Times New Roman" w:eastAsia="方正小标宋简体" w:cs="Times New Roman"/>
          <w:bCs/>
          <w:szCs w:val="30"/>
        </w:rPr>
      </w:pPr>
    </w:p>
    <w:p w14:paraId="3E33ADEB">
      <w:pPr>
        <w:overflowPunct w:val="0"/>
        <w:spacing w:before="579" w:beforeLines="100" w:after="579" w:afterLines="100"/>
        <w:ind w:firstLine="0" w:firstLineChars="0"/>
        <w:jc w:val="center"/>
        <w:rPr>
          <w:rFonts w:hint="default" w:ascii="Times New Roman" w:hAnsi="Times New Roman" w:eastAsia="方正小标宋简体" w:cs="Times New Roman"/>
          <w:bCs/>
          <w:szCs w:val="30"/>
        </w:rPr>
      </w:pPr>
    </w:p>
    <w:p w14:paraId="6EE0C01F">
      <w:pPr>
        <w:overflowPunct w:val="0"/>
        <w:spacing w:before="579" w:beforeLines="100" w:after="579" w:afterLines="100"/>
        <w:ind w:firstLine="0" w:firstLineChars="0"/>
        <w:jc w:val="center"/>
        <w:rPr>
          <w:rFonts w:hint="default" w:ascii="Times New Roman" w:hAnsi="Times New Roman" w:eastAsia="方正小标宋简体" w:cs="Times New Roman"/>
          <w:bCs/>
          <w:szCs w:val="30"/>
        </w:rPr>
      </w:pPr>
    </w:p>
    <w:p w14:paraId="530F0EA9">
      <w:pPr>
        <w:overflowPunct w:val="0"/>
        <w:spacing w:before="312" w:beforeLines="100" w:after="312" w:afterLines="100"/>
        <w:ind w:firstLine="0" w:firstLineChars="0"/>
        <w:jc w:val="center"/>
        <w:rPr>
          <w:rFonts w:hint="default" w:ascii="Times New Roman" w:hAnsi="Times New Roman" w:eastAsia="方正小标宋简体" w:cs="Times New Roman"/>
          <w:bCs/>
          <w:szCs w:val="30"/>
        </w:rPr>
      </w:pPr>
    </w:p>
    <w:p w14:paraId="14A9709E">
      <w:pPr>
        <w:pStyle w:val="2"/>
        <w:ind w:left="640" w:firstLine="640"/>
        <w:rPr>
          <w:rFonts w:hint="default" w:ascii="Times New Roman" w:hAnsi="Times New Roman" w:cs="Times New Roman"/>
        </w:rPr>
      </w:pPr>
    </w:p>
    <w:p w14:paraId="3E7F5D03">
      <w:pPr>
        <w:pStyle w:val="5"/>
        <w:rPr>
          <w:rFonts w:hint="default" w:ascii="Times New Roman" w:hAnsi="Times New Roman" w:cs="Times New Roman"/>
        </w:rPr>
      </w:pPr>
    </w:p>
    <w:p w14:paraId="3038E4CC">
      <w:pPr>
        <w:rPr>
          <w:rFonts w:hint="default"/>
        </w:rPr>
      </w:pPr>
    </w:p>
    <w:p w14:paraId="5F89EEF0">
      <w:pPr>
        <w:pStyle w:val="5"/>
        <w:ind w:firstLine="320"/>
        <w:rPr>
          <w:rFonts w:hint="default" w:ascii="Times New Roman" w:hAnsi="Times New Roman" w:cs="Times New Roman"/>
        </w:rPr>
      </w:pPr>
    </w:p>
    <w:p w14:paraId="50B8C942">
      <w:pPr>
        <w:overflowPunct w:val="0"/>
        <w:spacing w:line="500" w:lineRule="exact"/>
        <w:ind w:firstLine="0" w:firstLineChars="0"/>
        <w:jc w:val="center"/>
        <w:rPr>
          <w:rFonts w:hint="default" w:ascii="Times New Roman" w:hAnsi="Times New Roman" w:eastAsia="方正小标宋简体" w:cs="Times New Roman"/>
          <w:bCs/>
          <w:szCs w:val="30"/>
        </w:rPr>
      </w:pPr>
    </w:p>
    <w:p w14:paraId="1D784B7D">
      <w:pPr>
        <w:overflowPunct w:val="0"/>
        <w:adjustRightInd w:val="0"/>
        <w:snapToGrid w:val="0"/>
        <w:spacing w:line="240" w:lineRule="auto"/>
        <w:ind w:firstLine="0" w:firstLineChars="0"/>
        <w:jc w:val="center"/>
        <w:rPr>
          <w:rFonts w:hint="default" w:ascii="Times New Roman" w:hAnsi="Times New Roman" w:cs="Times New Roman"/>
        </w:rPr>
      </w:pPr>
      <w:r>
        <w:rPr>
          <w:rFonts w:hint="default" w:ascii="Times New Roman" w:hAnsi="Times New Roman" w:eastAsia="楷体_GB2312" w:cs="Times New Roman"/>
          <w:bCs/>
          <w:sz w:val="36"/>
          <w:szCs w:val="36"/>
        </w:rPr>
        <w:t>二</w:t>
      </w:r>
      <w:r>
        <w:rPr>
          <w:rFonts w:hint="default" w:ascii="Times New Roman" w:hAnsi="Times New Roman" w:eastAsia="宋体" w:cs="Times New Roman"/>
          <w:bCs/>
          <w:sz w:val="36"/>
          <w:szCs w:val="36"/>
        </w:rPr>
        <w:t>〇</w:t>
      </w:r>
      <w:r>
        <w:rPr>
          <w:rFonts w:hint="default" w:ascii="Times New Roman" w:hAnsi="Times New Roman" w:eastAsia="楷体_GB2312" w:cs="Times New Roman"/>
          <w:bCs/>
          <w:sz w:val="36"/>
          <w:szCs w:val="36"/>
        </w:rPr>
        <w:t>二六年六月</w:t>
      </w:r>
      <w:r>
        <w:rPr>
          <w:rFonts w:hint="default" w:ascii="Times New Roman" w:hAnsi="Times New Roman" w:cs="Times New Roman"/>
        </w:rPr>
        <w:br w:type="page"/>
      </w:r>
    </w:p>
    <w:p w14:paraId="4BFF1FC6">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黑体" w:cs="Times New Roman"/>
          <w:b/>
          <w:bCs/>
          <w:sz w:val="48"/>
          <w:szCs w:val="30"/>
        </w:rPr>
      </w:pPr>
    </w:p>
    <w:p w14:paraId="48C6E939">
      <w:pPr>
        <w:pStyle w:val="19"/>
        <w:keepNext w:val="0"/>
        <w:keepLines w:val="0"/>
        <w:pageBreakBefore w:val="0"/>
        <w:widowControl w:val="0"/>
        <w:tabs>
          <w:tab w:val="right" w:leader="dot" w:pos="8844"/>
        </w:tabs>
        <w:kinsoku/>
        <w:wordWrap/>
        <w:overflowPunct w:val="0"/>
        <w:topLinePunct w:val="0"/>
        <w:autoSpaceDE/>
        <w:autoSpaceDN/>
        <w:bidi w:val="0"/>
        <w:spacing w:line="56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目    录</w:t>
      </w:r>
    </w:p>
    <w:sdt>
      <w:sdtPr>
        <w:rPr>
          <w:rFonts w:hint="default" w:ascii="Times New Roman" w:hAnsi="Times New Roman" w:eastAsia="宋体" w:cs="Times New Roman"/>
          <w:bCs/>
          <w:sz w:val="21"/>
        </w:rPr>
        <w:id w:val="147462800"/>
        <w:docPartObj>
          <w:docPartGallery w:val="Table of Contents"/>
          <w:docPartUnique/>
        </w:docPartObj>
      </w:sdtPr>
      <w:sdtEndPr>
        <w:rPr>
          <w:rFonts w:hint="default" w:ascii="Times New Roman" w:hAnsi="Times New Roman" w:eastAsia="黑体" w:cs="Times New Roman"/>
          <w:bCs/>
          <w:sz w:val="32"/>
          <w:szCs w:val="30"/>
        </w:rPr>
      </w:sdtEndPr>
      <w:sdtContent>
        <w:p w14:paraId="09240878">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rPr>
              <w:rFonts w:hint="default" w:ascii="Times New Roman" w:hAnsi="Times New Roman" w:eastAsia="楷体_GB2312" w:cs="Times New Roman"/>
              <w:bCs/>
            </w:rPr>
          </w:pPr>
        </w:p>
        <w:p w14:paraId="565668F1">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eastAsia="黑体" w:cs="Times New Roman"/>
              <w:b w:val="0"/>
              <w:bCs/>
              <w:sz w:val="48"/>
              <w:szCs w:val="30"/>
            </w:rPr>
            <w:fldChar w:fldCharType="begin"/>
          </w:r>
          <w:r>
            <w:rPr>
              <w:rFonts w:hint="default" w:ascii="Times New Roman" w:hAnsi="Times New Roman" w:eastAsia="黑体" w:cs="Times New Roman"/>
              <w:b w:val="0"/>
              <w:bCs/>
              <w:sz w:val="48"/>
              <w:szCs w:val="30"/>
            </w:rPr>
            <w:instrText xml:space="preserve">TOC \o "1-3" \h \u </w:instrText>
          </w:r>
          <w:r>
            <w:rPr>
              <w:rFonts w:hint="default" w:ascii="Times New Roman" w:hAnsi="Times New Roman" w:eastAsia="黑体" w:cs="Times New Roman"/>
              <w:b w:val="0"/>
              <w:bCs/>
              <w:sz w:val="48"/>
              <w:szCs w:val="30"/>
            </w:rPr>
            <w:fldChar w:fldCharType="separate"/>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"_Toc13734"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第一篇  扛牢使命担当，开启现代化强区建设新篇章</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_Toc13734 \h </w:instrText>
          </w:r>
          <w:r>
            <w:rPr>
              <w:rFonts w:hint="default" w:ascii="Times New Roman" w:hAnsi="Times New Roman" w:cs="Times New Roman"/>
              <w:b w:val="0"/>
              <w:bCs/>
            </w:rPr>
            <w:fldChar w:fldCharType="separate"/>
          </w:r>
          <w:r>
            <w:rPr>
              <w:rFonts w:hint="default" w:ascii="Times New Roman" w:hAnsi="Times New Roman" w:cs="Times New Roman"/>
              <w:b w:val="0"/>
              <w:bCs/>
            </w:rPr>
            <w:t>10</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C31656B">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eastAsia="方正黑体简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"_Toc25449" </w:instrText>
          </w:r>
          <w:r>
            <w:rPr>
              <w:rFonts w:hint="default" w:ascii="Times New Roman" w:hAnsi="Times New Roman" w:cs="Times New Roman"/>
            </w:rPr>
            <w:fldChar w:fldCharType="separate"/>
          </w:r>
          <w:r>
            <w:rPr>
              <w:rFonts w:hint="default" w:ascii="Times New Roman" w:hAnsi="Times New Roman" w:eastAsia="方正黑体简体" w:cs="Times New Roman"/>
            </w:rPr>
            <w:t>第一章  “十四五”时期经济社会发展迈上新台阶</w:t>
          </w:r>
          <w:r>
            <w:rPr>
              <w:rFonts w:hint="default" w:ascii="Times New Roman" w:hAnsi="Times New Roman" w:eastAsia="方正黑体简体" w:cs="Times New Roman"/>
            </w:rPr>
            <w:tab/>
          </w:r>
          <w:r>
            <w:rPr>
              <w:rFonts w:hint="default" w:ascii="Times New Roman" w:hAnsi="Times New Roman" w:eastAsia="方正黑体简体" w:cs="Times New Roman"/>
            </w:rPr>
            <w:fldChar w:fldCharType="begin"/>
          </w:r>
          <w:r>
            <w:rPr>
              <w:rFonts w:hint="default" w:ascii="Times New Roman" w:hAnsi="Times New Roman" w:eastAsia="方正黑体简体" w:cs="Times New Roman"/>
            </w:rPr>
            <w:instrText xml:space="preserve"> PAGEREF _Toc25449 \h </w:instrText>
          </w:r>
          <w:r>
            <w:rPr>
              <w:rFonts w:hint="default" w:ascii="Times New Roman" w:hAnsi="Times New Roman" w:eastAsia="方正黑体简体" w:cs="Times New Roman"/>
            </w:rPr>
            <w:fldChar w:fldCharType="separate"/>
          </w:r>
          <w:r>
            <w:rPr>
              <w:rFonts w:hint="default" w:ascii="Times New Roman" w:hAnsi="Times New Roman" w:eastAsia="方正黑体简体" w:cs="Times New Roman"/>
            </w:rPr>
            <w:t>10</w:t>
          </w:r>
          <w:r>
            <w:rPr>
              <w:rFonts w:hint="default" w:ascii="Times New Roman" w:hAnsi="Times New Roman" w:eastAsia="方正黑体简体" w:cs="Times New Roman"/>
            </w:rPr>
            <w:fldChar w:fldCharType="end"/>
          </w:r>
          <w:r>
            <w:rPr>
              <w:rFonts w:hint="default" w:ascii="Times New Roman" w:hAnsi="Times New Roman" w:eastAsia="方正黑体简体" w:cs="Times New Roman"/>
            </w:rPr>
            <w:fldChar w:fldCharType="end"/>
          </w:r>
        </w:p>
        <w:p w14:paraId="58F490C2">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"_Toc24334" </w:instrText>
          </w:r>
          <w:r>
            <w:rPr>
              <w:rFonts w:hint="default" w:ascii="Times New Roman" w:hAnsi="Times New Roman" w:cs="Times New Roman"/>
            </w:rPr>
            <w:fldChar w:fldCharType="separate"/>
          </w:r>
          <w:r>
            <w:rPr>
              <w:rFonts w:hint="default" w:ascii="Times New Roman" w:hAnsi="Times New Roman" w:eastAsia="方正黑体简体" w:cs="Times New Roman"/>
            </w:rPr>
            <w:t>第二章  “十五五”时期面临新机遇和新挑战</w:t>
          </w:r>
          <w:r>
            <w:rPr>
              <w:rFonts w:hint="default" w:ascii="Times New Roman" w:hAnsi="Times New Roman" w:eastAsia="方正黑体简体" w:cs="Times New Roman"/>
            </w:rPr>
            <w:tab/>
          </w:r>
          <w:r>
            <w:rPr>
              <w:rFonts w:hint="default" w:ascii="Times New Roman" w:hAnsi="Times New Roman" w:eastAsia="方正黑体简体" w:cs="Times New Roman"/>
            </w:rPr>
            <w:fldChar w:fldCharType="begin"/>
          </w:r>
          <w:r>
            <w:rPr>
              <w:rFonts w:hint="default" w:ascii="Times New Roman" w:hAnsi="Times New Roman" w:eastAsia="方正黑体简体" w:cs="Times New Roman"/>
            </w:rPr>
            <w:instrText xml:space="preserve"> PAGEREF _Toc24334 \h </w:instrText>
          </w:r>
          <w:r>
            <w:rPr>
              <w:rFonts w:hint="default" w:ascii="Times New Roman" w:hAnsi="Times New Roman" w:eastAsia="方正黑体简体" w:cs="Times New Roman"/>
            </w:rPr>
            <w:fldChar w:fldCharType="separate"/>
          </w:r>
          <w:r>
            <w:rPr>
              <w:rFonts w:hint="default" w:ascii="Times New Roman" w:hAnsi="Times New Roman" w:eastAsia="方正黑体简体" w:cs="Times New Roman"/>
            </w:rPr>
            <w:t>16</w:t>
          </w:r>
          <w:r>
            <w:rPr>
              <w:rFonts w:hint="default" w:ascii="Times New Roman" w:hAnsi="Times New Roman" w:eastAsia="方正黑体简体" w:cs="Times New Roman"/>
            </w:rPr>
            <w:fldChar w:fldCharType="end"/>
          </w:r>
          <w:r>
            <w:rPr>
              <w:rFonts w:hint="default" w:ascii="Times New Roman" w:hAnsi="Times New Roman" w:eastAsia="方正黑体简体" w:cs="Times New Roman"/>
            </w:rPr>
            <w:fldChar w:fldCharType="end"/>
          </w:r>
        </w:p>
        <w:p w14:paraId="7A4416DF">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"_Toc10819"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第二篇  锚定“新坐标”，擘画兖州发展新蓝图</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_Toc10819 \h </w:instrText>
          </w:r>
          <w:r>
            <w:rPr>
              <w:rFonts w:hint="default" w:ascii="Times New Roman" w:hAnsi="Times New Roman" w:cs="Times New Roman"/>
              <w:b w:val="0"/>
              <w:bCs/>
            </w:rPr>
            <w:fldChar w:fldCharType="separate"/>
          </w:r>
          <w:r>
            <w:rPr>
              <w:rFonts w:hint="default" w:ascii="Times New Roman" w:hAnsi="Times New Roman" w:cs="Times New Roman"/>
              <w:b w:val="0"/>
              <w:bCs/>
            </w:rPr>
            <w:t>18</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7DC2342">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eastAsia="方正黑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"_Toc26471"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“十五五”时期经济社会发展指导思想</w:t>
          </w:r>
          <w:r>
            <w:rPr>
              <w:rFonts w:hint="default" w:ascii="Times New Roman" w:hAnsi="Times New Roman" w:eastAsia="方正黑体简体" w:cs="Times New Roman"/>
              <w:b w:val="0"/>
              <w:bCs/>
            </w:rPr>
            <w:tab/>
          </w:r>
          <w:r>
            <w:rPr>
              <w:rFonts w:hint="default" w:ascii="Times New Roman" w:hAnsi="Times New Roman" w:eastAsia="方正黑体简体" w:cs="Times New Roman"/>
              <w:b w:val="0"/>
              <w:bCs/>
            </w:rPr>
            <w:fldChar w:fldCharType="begin"/>
          </w:r>
          <w:r>
            <w:rPr>
              <w:rFonts w:hint="default" w:ascii="Times New Roman" w:hAnsi="Times New Roman" w:eastAsia="方正黑体简体" w:cs="Times New Roman"/>
              <w:b w:val="0"/>
              <w:bCs/>
            </w:rPr>
            <w:instrText xml:space="preserve"> PAGEREF _Toc26471 \h </w:instrText>
          </w:r>
          <w:r>
            <w:rPr>
              <w:rFonts w:hint="default" w:ascii="Times New Roman" w:hAnsi="Times New Roman" w:eastAsia="方正黑体简体" w:cs="Times New Roman"/>
              <w:b w:val="0"/>
              <w:bCs/>
            </w:rPr>
            <w:fldChar w:fldCharType="separate"/>
          </w:r>
          <w:r>
            <w:rPr>
              <w:rFonts w:hint="default" w:ascii="Times New Roman" w:hAnsi="Times New Roman" w:eastAsia="方正黑体简体" w:cs="Times New Roman"/>
              <w:b w:val="0"/>
              <w:bCs/>
            </w:rPr>
            <w:t>18</w:t>
          </w:r>
          <w:r>
            <w:rPr>
              <w:rFonts w:hint="default" w:ascii="Times New Roman" w:hAnsi="Times New Roman" w:eastAsia="方正黑体简体" w:cs="Times New Roman"/>
              <w:b w:val="0"/>
              <w:bCs/>
            </w:rPr>
            <w:fldChar w:fldCharType="end"/>
          </w:r>
          <w:r>
            <w:rPr>
              <w:rFonts w:hint="default" w:ascii="Times New Roman" w:hAnsi="Times New Roman" w:eastAsia="方正黑体简体" w:cs="Times New Roman"/>
              <w:b w:val="0"/>
              <w:bCs/>
            </w:rPr>
            <w:fldChar w:fldCharType="end"/>
          </w:r>
        </w:p>
        <w:p w14:paraId="5D3A799C">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eastAsia="方正黑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"_Toc2083"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“十五五”时期经济社会发展基本原则</w:t>
          </w:r>
          <w:r>
            <w:rPr>
              <w:rFonts w:hint="default" w:ascii="Times New Roman" w:hAnsi="Times New Roman" w:eastAsia="方正黑体简体" w:cs="Times New Roman"/>
              <w:b w:val="0"/>
              <w:bCs/>
            </w:rPr>
            <w:tab/>
          </w:r>
          <w:r>
            <w:rPr>
              <w:rFonts w:hint="default" w:ascii="Times New Roman" w:hAnsi="Times New Roman" w:eastAsia="方正黑体简体" w:cs="Times New Roman"/>
              <w:b w:val="0"/>
              <w:bCs/>
            </w:rPr>
            <w:fldChar w:fldCharType="begin"/>
          </w:r>
          <w:r>
            <w:rPr>
              <w:rFonts w:hint="default" w:ascii="Times New Roman" w:hAnsi="Times New Roman" w:eastAsia="方正黑体简体" w:cs="Times New Roman"/>
              <w:b w:val="0"/>
              <w:bCs/>
            </w:rPr>
            <w:instrText xml:space="preserve"> PAGEREF _Toc2083 \h </w:instrText>
          </w:r>
          <w:r>
            <w:rPr>
              <w:rFonts w:hint="default" w:ascii="Times New Roman" w:hAnsi="Times New Roman" w:eastAsia="方正黑体简体" w:cs="Times New Roman"/>
              <w:b w:val="0"/>
              <w:bCs/>
            </w:rPr>
            <w:fldChar w:fldCharType="separate"/>
          </w:r>
          <w:r>
            <w:rPr>
              <w:rFonts w:hint="default" w:ascii="Times New Roman" w:hAnsi="Times New Roman" w:eastAsia="方正黑体简体" w:cs="Times New Roman"/>
              <w:b w:val="0"/>
              <w:bCs/>
            </w:rPr>
            <w:t>18</w:t>
          </w:r>
          <w:r>
            <w:rPr>
              <w:rFonts w:hint="default" w:ascii="Times New Roman" w:hAnsi="Times New Roman" w:eastAsia="方正黑体简体" w:cs="Times New Roman"/>
              <w:b w:val="0"/>
              <w:bCs/>
            </w:rPr>
            <w:fldChar w:fldCharType="end"/>
          </w:r>
          <w:r>
            <w:rPr>
              <w:rFonts w:hint="default" w:ascii="Times New Roman" w:hAnsi="Times New Roman" w:eastAsia="方正黑体简体" w:cs="Times New Roman"/>
              <w:b w:val="0"/>
              <w:bCs/>
            </w:rPr>
            <w:fldChar w:fldCharType="end"/>
          </w:r>
        </w:p>
        <w:p w14:paraId="5EF04968">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eastAsia="方正黑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"_Toc16420"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“十五五”时期经济社会发展总体定位</w:t>
          </w:r>
          <w:r>
            <w:rPr>
              <w:rFonts w:hint="default" w:ascii="Times New Roman" w:hAnsi="Times New Roman" w:eastAsia="方正黑体简体" w:cs="Times New Roman"/>
              <w:b w:val="0"/>
              <w:bCs/>
            </w:rPr>
            <w:tab/>
          </w:r>
          <w:r>
            <w:rPr>
              <w:rFonts w:hint="default" w:ascii="Times New Roman" w:hAnsi="Times New Roman" w:eastAsia="方正黑体简体" w:cs="Times New Roman"/>
              <w:b w:val="0"/>
              <w:bCs/>
            </w:rPr>
            <w:fldChar w:fldCharType="begin"/>
          </w:r>
          <w:r>
            <w:rPr>
              <w:rFonts w:hint="default" w:ascii="Times New Roman" w:hAnsi="Times New Roman" w:eastAsia="方正黑体简体" w:cs="Times New Roman"/>
              <w:b w:val="0"/>
              <w:bCs/>
            </w:rPr>
            <w:instrText xml:space="preserve"> PAGEREF _Toc16420 \h </w:instrText>
          </w:r>
          <w:r>
            <w:rPr>
              <w:rFonts w:hint="default" w:ascii="Times New Roman" w:hAnsi="Times New Roman" w:eastAsia="方正黑体简体" w:cs="Times New Roman"/>
              <w:b w:val="0"/>
              <w:bCs/>
            </w:rPr>
            <w:fldChar w:fldCharType="separate"/>
          </w:r>
          <w:r>
            <w:rPr>
              <w:rFonts w:hint="default" w:ascii="Times New Roman" w:hAnsi="Times New Roman" w:eastAsia="方正黑体简体" w:cs="Times New Roman"/>
              <w:b w:val="0"/>
              <w:bCs/>
            </w:rPr>
            <w:t>20</w:t>
          </w:r>
          <w:r>
            <w:rPr>
              <w:rFonts w:hint="default" w:ascii="Times New Roman" w:hAnsi="Times New Roman" w:eastAsia="方正黑体简体" w:cs="Times New Roman"/>
              <w:b w:val="0"/>
              <w:bCs/>
            </w:rPr>
            <w:fldChar w:fldCharType="end"/>
          </w:r>
          <w:r>
            <w:rPr>
              <w:rFonts w:hint="default" w:ascii="Times New Roman" w:hAnsi="Times New Roman" w:eastAsia="方正黑体简体" w:cs="Times New Roman"/>
              <w:b w:val="0"/>
              <w:bCs/>
            </w:rPr>
            <w:fldChar w:fldCharType="end"/>
          </w:r>
        </w:p>
        <w:p w14:paraId="2E70D12D">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"_Toc8562"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第四章  “十五五”时期经济社会发展主要目标</w:t>
          </w:r>
          <w:r>
            <w:rPr>
              <w:rFonts w:hint="default" w:ascii="Times New Roman" w:hAnsi="Times New Roman" w:eastAsia="方正黑体简体" w:cs="Times New Roman"/>
              <w:b w:val="0"/>
              <w:bCs/>
            </w:rPr>
            <w:tab/>
          </w:r>
          <w:r>
            <w:rPr>
              <w:rFonts w:hint="default" w:ascii="Times New Roman" w:hAnsi="Times New Roman" w:eastAsia="方正黑体简体" w:cs="Times New Roman"/>
              <w:b w:val="0"/>
              <w:bCs/>
            </w:rPr>
            <w:fldChar w:fldCharType="begin"/>
          </w:r>
          <w:r>
            <w:rPr>
              <w:rFonts w:hint="default" w:ascii="Times New Roman" w:hAnsi="Times New Roman" w:eastAsia="方正黑体简体" w:cs="Times New Roman"/>
              <w:b w:val="0"/>
              <w:bCs/>
            </w:rPr>
            <w:instrText xml:space="preserve"> PAGEREF _Toc8562 \h </w:instrText>
          </w:r>
          <w:r>
            <w:rPr>
              <w:rFonts w:hint="default" w:ascii="Times New Roman" w:hAnsi="Times New Roman" w:eastAsia="方正黑体简体" w:cs="Times New Roman"/>
              <w:b w:val="0"/>
              <w:bCs/>
            </w:rPr>
            <w:fldChar w:fldCharType="separate"/>
          </w:r>
          <w:r>
            <w:rPr>
              <w:rFonts w:hint="default" w:ascii="Times New Roman" w:hAnsi="Times New Roman" w:eastAsia="方正黑体简体" w:cs="Times New Roman"/>
              <w:b w:val="0"/>
              <w:bCs/>
            </w:rPr>
            <w:t>21</w:t>
          </w:r>
          <w:r>
            <w:rPr>
              <w:rFonts w:hint="default" w:ascii="Times New Roman" w:hAnsi="Times New Roman" w:eastAsia="方正黑体简体" w:cs="Times New Roman"/>
              <w:b w:val="0"/>
              <w:bCs/>
            </w:rPr>
            <w:fldChar w:fldCharType="end"/>
          </w:r>
          <w:r>
            <w:rPr>
              <w:rFonts w:hint="default" w:ascii="Times New Roman" w:hAnsi="Times New Roman" w:eastAsia="方正黑体简体" w:cs="Times New Roman"/>
              <w:b w:val="0"/>
              <w:bCs/>
            </w:rPr>
            <w:fldChar w:fldCharType="end"/>
          </w:r>
        </w:p>
        <w:p w14:paraId="5AC772FC">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"_Toc6598"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第三篇  构建现代化产业体系，巩固壮大实体经济根基</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_Toc6598 \h </w:instrText>
          </w:r>
          <w:r>
            <w:rPr>
              <w:rFonts w:hint="default" w:ascii="Times New Roman" w:hAnsi="Times New Roman" w:cs="Times New Roman"/>
              <w:b w:val="0"/>
              <w:bCs/>
            </w:rPr>
            <w:fldChar w:fldCharType="separate"/>
          </w:r>
          <w:r>
            <w:rPr>
              <w:rFonts w:hint="default" w:ascii="Times New Roman" w:hAnsi="Times New Roman" w:cs="Times New Roman"/>
              <w:b w:val="0"/>
              <w:bCs/>
            </w:rPr>
            <w:t>25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FCAD032">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"_Toc29565"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巩固提升优势主导产业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_Toc29565 \h </w:instrText>
          </w:r>
          <w:r>
            <w:rPr>
              <w:rFonts w:hint="default" w:ascii="Times New Roman" w:hAnsi="Times New Roman" w:cs="Times New Roman"/>
              <w:b w:val="0"/>
              <w:bCs/>
            </w:rPr>
            <w:fldChar w:fldCharType="separate"/>
          </w:r>
          <w:r>
            <w:rPr>
              <w:rFonts w:hint="default" w:ascii="Times New Roman" w:hAnsi="Times New Roman" w:cs="Times New Roman"/>
              <w:b w:val="0"/>
              <w:bCs/>
            </w:rPr>
            <w:t>25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9A7F2A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"_Toc6128"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打造千亿级产业集群</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_Toc6128 \h </w:instrText>
          </w:r>
          <w:r>
            <w:rPr>
              <w:rFonts w:hint="default" w:ascii="Times New Roman" w:hAnsi="Times New Roman" w:cs="Times New Roman"/>
              <w:b w:val="0"/>
              <w:bCs/>
            </w:rPr>
            <w:fldChar w:fldCharType="separate"/>
          </w:r>
          <w:r>
            <w:rPr>
              <w:rFonts w:hint="default" w:ascii="Times New Roman" w:hAnsi="Times New Roman" w:cs="Times New Roman"/>
              <w:b w:val="0"/>
              <w:bCs/>
            </w:rPr>
            <w:t>25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11AF72CA">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"_Toc26816"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扩容百亿级产业集群</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_Toc26816 \h </w:instrText>
          </w:r>
          <w:r>
            <w:rPr>
              <w:rFonts w:hint="default" w:ascii="Times New Roman" w:hAnsi="Times New Roman" w:cs="Times New Roman"/>
              <w:b w:val="0"/>
              <w:bCs/>
            </w:rPr>
            <w:fldChar w:fldCharType="separate"/>
          </w:r>
          <w:r>
            <w:rPr>
              <w:rFonts w:hint="default" w:ascii="Times New Roman" w:hAnsi="Times New Roman" w:cs="Times New Roman"/>
              <w:b w:val="0"/>
              <w:bCs/>
            </w:rPr>
            <w:t>29</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CD03E9C">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"_Toc774"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培育壮大新兴产业和未来产业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_Toc774 \h </w:instrText>
          </w:r>
          <w:r>
            <w:rPr>
              <w:rFonts w:hint="default" w:ascii="Times New Roman" w:hAnsi="Times New Roman" w:cs="Times New Roman"/>
              <w:b w:val="0"/>
              <w:bCs/>
            </w:rPr>
            <w:fldChar w:fldCharType="separate"/>
          </w:r>
          <w:r>
            <w:rPr>
              <w:rFonts w:hint="default" w:ascii="Times New Roman" w:hAnsi="Times New Roman" w:cs="Times New Roman"/>
              <w:b w:val="0"/>
              <w:bCs/>
            </w:rPr>
            <w:t>32</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6570563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"_Toc30845"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拓展新一代信息技术产业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_Toc30845 \h </w:instrText>
          </w:r>
          <w:r>
            <w:rPr>
              <w:rFonts w:hint="default" w:ascii="Times New Roman" w:hAnsi="Times New Roman" w:cs="Times New Roman"/>
              <w:b w:val="0"/>
              <w:bCs/>
            </w:rPr>
            <w:fldChar w:fldCharType="separate"/>
          </w:r>
          <w:r>
            <w:rPr>
              <w:rFonts w:hint="default" w:ascii="Times New Roman" w:hAnsi="Times New Roman" w:cs="Times New Roman"/>
              <w:b w:val="0"/>
              <w:bCs/>
            </w:rPr>
            <w:t>32</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AA789A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"_Toc19439"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引育低空经济产业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_Toc19439 \h </w:instrText>
          </w:r>
          <w:r>
            <w:rPr>
              <w:rFonts w:hint="default" w:ascii="Times New Roman" w:hAnsi="Times New Roman" w:cs="Times New Roman"/>
              <w:b w:val="0"/>
              <w:bCs/>
            </w:rPr>
            <w:fldChar w:fldCharType="separate"/>
          </w:r>
          <w:r>
            <w:rPr>
              <w:rFonts w:hint="default" w:ascii="Times New Roman" w:hAnsi="Times New Roman" w:cs="Times New Roman"/>
              <w:b w:val="0"/>
              <w:bCs/>
            </w:rPr>
            <w:t>32</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689505A6">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"_Toc6827"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布局未来能源产业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_Toc6827 \h </w:instrText>
          </w:r>
          <w:r>
            <w:rPr>
              <w:rFonts w:hint="default" w:ascii="Times New Roman" w:hAnsi="Times New Roman" w:cs="Times New Roman"/>
              <w:b w:val="0"/>
              <w:bCs/>
            </w:rPr>
            <w:fldChar w:fldCharType="separate"/>
          </w:r>
          <w:r>
            <w:rPr>
              <w:rFonts w:hint="default" w:ascii="Times New Roman" w:hAnsi="Times New Roman" w:cs="Times New Roman"/>
              <w:b w:val="0"/>
              <w:bCs/>
            </w:rPr>
            <w:t>33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FF8C39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"_Toc30569"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探索人工智能产业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_Toc30569 \h </w:instrText>
          </w:r>
          <w:r>
            <w:rPr>
              <w:rFonts w:hint="default" w:ascii="Times New Roman" w:hAnsi="Times New Roman" w:cs="Times New Roman"/>
              <w:b w:val="0"/>
              <w:bCs/>
            </w:rPr>
            <w:fldChar w:fldCharType="separate"/>
          </w:r>
          <w:r>
            <w:rPr>
              <w:rFonts w:hint="default" w:ascii="Times New Roman" w:hAnsi="Times New Roman" w:cs="Times New Roman"/>
              <w:b w:val="0"/>
              <w:bCs/>
            </w:rPr>
            <w:t>33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41E52B8">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"_Toc9951"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大力发展生产性服务业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_Toc9951 \h </w:instrText>
          </w:r>
          <w:r>
            <w:rPr>
              <w:rFonts w:hint="default" w:ascii="Times New Roman" w:hAnsi="Times New Roman" w:cs="Times New Roman"/>
              <w:b w:val="0"/>
              <w:bCs/>
            </w:rPr>
            <w:fldChar w:fldCharType="separate"/>
          </w:r>
          <w:r>
            <w:rPr>
              <w:rFonts w:hint="default" w:ascii="Times New Roman" w:hAnsi="Times New Roman" w:cs="Times New Roman"/>
              <w:b w:val="0"/>
              <w:bCs/>
            </w:rPr>
            <w:t>35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F252CFE">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"_Toc24664"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建设现代物流体系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_Toc24664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B54BF2A">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"_Toc20875"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壮大现代金融服务业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_Toc20875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BBC1C57">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"_Toc1417"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做强电子商务产业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_Toc1417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D31874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"_Toc29048"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构建专业化科技商务服务生态</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_Toc29048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35D8A53">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"_Toc31204"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第五节  培育节能环保与绿色服务业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_Toc31204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C48A2D6">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"_Toc4136"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第四章  做强做优数字经济</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_Toc4136 \h </w:instrText>
          </w:r>
          <w:r>
            <w:rPr>
              <w:rFonts w:hint="default" w:ascii="Times New Roman" w:hAnsi="Times New Roman" w:cs="Times New Roman"/>
              <w:b w:val="0"/>
              <w:bCs/>
            </w:rPr>
            <w:fldChar w:fldCharType="separate"/>
          </w:r>
          <w:r>
            <w:rPr>
              <w:rFonts w:hint="default" w:ascii="Times New Roman" w:hAnsi="Times New Roman" w:cs="Times New Roman"/>
              <w:b w:val="0"/>
              <w:bCs/>
            </w:rPr>
            <w:t>38</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5A788F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"_Toc16942"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夯实数字基础设施根基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_Toc16942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5CD164D">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"_Toc855"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深化制造业数字化转型</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_Toc855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71BBEA5">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"_Toc22813"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培育壮大数字产业规模</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_Toc22813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39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C03AB61">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"_Toc28477"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第五章  全力打造现代化产业园区</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_Toc28477 \h </w:instrText>
          </w:r>
          <w:r>
            <w:rPr>
              <w:rFonts w:hint="default" w:ascii="Times New Roman" w:hAnsi="Times New Roman" w:cs="Times New Roman"/>
              <w:b w:val="0"/>
              <w:bCs/>
            </w:rPr>
            <w:fldChar w:fldCharType="separate"/>
          </w:r>
          <w:r>
            <w:rPr>
              <w:rFonts w:hint="default" w:ascii="Times New Roman" w:hAnsi="Times New Roman" w:cs="Times New Roman"/>
              <w:b w:val="0"/>
              <w:bCs/>
            </w:rPr>
            <w:t>40</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AFBD9CF">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"_Toc31988"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提档升级兖州工业园区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_Toc31988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8BB68F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"_Toc24635"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提质扩容兖州高新区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_Toc24635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ABA6F6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"_Toc23320"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提优增效现代物流园区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_Toc23320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FA3C50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"_Toc24215"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提标扩面镇街小微产业园</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_Toc24215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52E444B">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"_Toc4419"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第四篇  完善高质量科创体系，塑强创新发展新高地</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_Toc4419 \h </w:instrText>
          </w:r>
          <w:r>
            <w:rPr>
              <w:rFonts w:hint="default" w:ascii="Times New Roman" w:hAnsi="Times New Roman" w:cs="Times New Roman"/>
              <w:b w:val="0"/>
              <w:bCs/>
            </w:rPr>
            <w:fldChar w:fldCharType="separate"/>
          </w:r>
          <w:r>
            <w:rPr>
              <w:rFonts w:hint="default" w:ascii="Times New Roman" w:hAnsi="Times New Roman" w:cs="Times New Roman"/>
              <w:b w:val="0"/>
              <w:bCs/>
            </w:rPr>
            <w:t>44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D8A6659">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"_Toc13683"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夯实企业创新主体地位</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_Toc13683 \h </w:instrText>
          </w:r>
          <w:r>
            <w:rPr>
              <w:rFonts w:hint="default" w:ascii="Times New Roman" w:hAnsi="Times New Roman" w:cs="Times New Roman"/>
              <w:b w:val="0"/>
              <w:bCs/>
            </w:rPr>
            <w:fldChar w:fldCharType="separate"/>
          </w:r>
          <w:r>
            <w:rPr>
              <w:rFonts w:hint="default" w:ascii="Times New Roman" w:hAnsi="Times New Roman" w:cs="Times New Roman"/>
              <w:b w:val="0"/>
              <w:bCs/>
            </w:rPr>
            <w:t>44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0E9F216F">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"_Toc31030"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打造高水平科技企业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_Toc31030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03D88A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"_Toc11814"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加快产业链科技赋能</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_Toc11814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00D2D86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"_Toc6940"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促进产学研融通创新</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_Toc6940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31986B9">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"_Toc19351"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打造高能级创新策源地</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_Toc19351 \h </w:instrText>
          </w:r>
          <w:r>
            <w:rPr>
              <w:rFonts w:hint="default" w:ascii="Times New Roman" w:hAnsi="Times New Roman" w:cs="Times New Roman"/>
              <w:b w:val="0"/>
              <w:bCs/>
            </w:rPr>
            <w:fldChar w:fldCharType="separate"/>
          </w:r>
          <w:r>
            <w:rPr>
              <w:rFonts w:hint="default" w:ascii="Times New Roman" w:hAnsi="Times New Roman" w:cs="Times New Roman"/>
              <w:b w:val="0"/>
              <w:bCs/>
            </w:rPr>
            <w:t>46</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1FFF18D">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"_Toc17411"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布局产业导向高能级平台</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_Toc17411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4F7EC06">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"_Toc11604"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建设区域公共创新服务平台</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_Toc11604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D75287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"_Toc26898"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提升创新平台运行效能</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_Toc26898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1A7F941">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"_Toc16503"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营造活力迸发创新环境</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_Toc16503 \h </w:instrText>
          </w:r>
          <w:r>
            <w:rPr>
              <w:rFonts w:hint="default" w:ascii="Times New Roman" w:hAnsi="Times New Roman" w:cs="Times New Roman"/>
              <w:b w:val="0"/>
              <w:bCs/>
            </w:rPr>
            <w:fldChar w:fldCharType="separate"/>
          </w:r>
          <w:r>
            <w:rPr>
              <w:rFonts w:hint="default" w:ascii="Times New Roman" w:hAnsi="Times New Roman" w:cs="Times New Roman"/>
              <w:b w:val="0"/>
              <w:bCs/>
            </w:rPr>
            <w:t>48</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E627C3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"_Toc1374"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构建多元人才引育体系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_Toc1374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22FA3A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"_Toc21653"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优化科技创新空间布局</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_Toc21653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17070D5">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"_Toc20374"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构建协同高效创新生态</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_Toc20374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49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6748C22">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"_Toc7505"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第五篇  加快释放内需潜力，持续增强发展新活力</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_Toc7505 \h </w:instrText>
          </w:r>
          <w:r>
            <w:rPr>
              <w:rFonts w:hint="default" w:ascii="Times New Roman" w:hAnsi="Times New Roman" w:cs="Times New Roman"/>
              <w:b w:val="0"/>
              <w:bCs/>
            </w:rPr>
            <w:fldChar w:fldCharType="separate"/>
          </w:r>
          <w:r>
            <w:rPr>
              <w:rFonts w:hint="default" w:ascii="Times New Roman" w:hAnsi="Times New Roman" w:cs="Times New Roman"/>
              <w:b w:val="0"/>
              <w:bCs/>
            </w:rPr>
            <w:t>51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4B2B825">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"_Toc19931"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大力提振消费</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_Toc19931 \h </w:instrText>
          </w:r>
          <w:r>
            <w:rPr>
              <w:rFonts w:hint="default" w:ascii="Times New Roman" w:hAnsi="Times New Roman" w:cs="Times New Roman"/>
              <w:b w:val="0"/>
              <w:bCs/>
            </w:rPr>
            <w:fldChar w:fldCharType="separate"/>
          </w:r>
          <w:r>
            <w:rPr>
              <w:rFonts w:hint="default" w:ascii="Times New Roman" w:hAnsi="Times New Roman" w:cs="Times New Roman"/>
              <w:b w:val="0"/>
              <w:bCs/>
            </w:rPr>
            <w:t>51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68E4B3CF">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"_Toc11584"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升级消费载体</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_Toc11584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0658126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"_Toc16760"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培育消费热点</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_Toc16760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FEA1B80">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"_Toc7495"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激发消费潜力</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_Toc7495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360A83C">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"_Toc29029"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扩大有效投资</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_Toc29029 \h </w:instrText>
          </w:r>
          <w:r>
            <w:rPr>
              <w:rFonts w:hint="default" w:ascii="Times New Roman" w:hAnsi="Times New Roman" w:cs="Times New Roman"/>
              <w:b w:val="0"/>
              <w:bCs/>
            </w:rPr>
            <w:fldChar w:fldCharType="separate"/>
          </w:r>
          <w:r>
            <w:rPr>
              <w:rFonts w:hint="default" w:ascii="Times New Roman" w:hAnsi="Times New Roman" w:cs="Times New Roman"/>
              <w:b w:val="0"/>
              <w:bCs/>
            </w:rPr>
            <w:t>53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785E9E0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"_Toc27549"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大力实施精准招商</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_Toc27549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58BF9B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"_Toc20907"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发挥投资带动作用</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_Toc20907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3CAE07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"_Toc14351"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激发民间投资活力</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_Toc14351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2C36EDF">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"_Toc14120"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第六篇  坚持深化改革开放，不断增添发展新动能</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_Toc14120 \h </w:instrText>
          </w:r>
          <w:r>
            <w:rPr>
              <w:rFonts w:hint="default" w:ascii="Times New Roman" w:hAnsi="Times New Roman" w:cs="Times New Roman"/>
              <w:b w:val="0"/>
              <w:bCs/>
            </w:rPr>
            <w:fldChar w:fldCharType="separate"/>
          </w:r>
          <w:r>
            <w:rPr>
              <w:rFonts w:hint="default" w:ascii="Times New Roman" w:hAnsi="Times New Roman" w:cs="Times New Roman"/>
              <w:b w:val="0"/>
              <w:bCs/>
            </w:rPr>
            <w:t>56</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10F9ACF">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"_Toc28479"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全面深化重点领域改革</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_Toc28479 \h </w:instrText>
          </w:r>
          <w:r>
            <w:rPr>
              <w:rFonts w:hint="default" w:ascii="Times New Roman" w:hAnsi="Times New Roman" w:cs="Times New Roman"/>
              <w:b w:val="0"/>
              <w:bCs/>
            </w:rPr>
            <w:fldChar w:fldCharType="separate"/>
          </w:r>
          <w:r>
            <w:rPr>
              <w:rFonts w:hint="default" w:ascii="Times New Roman" w:hAnsi="Times New Roman" w:cs="Times New Roman"/>
              <w:b w:val="0"/>
              <w:bCs/>
            </w:rPr>
            <w:t>56</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BBC347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"_Toc585"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打造一流营商环境</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_Toc585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181C0D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"_Toc17645"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优化要素配置机制</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_Toc17645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50E71C3">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"_Toc16558"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服务和融入全国统一大市场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_Toc16558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A9D32B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"_Toc7572"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深化财税与金融体制改革</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_Toc7572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A3B8D0C">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"_Toc1238"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创新发展对外贸易</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_Toc1238 \h </w:instrText>
          </w:r>
          <w:r>
            <w:rPr>
              <w:rFonts w:hint="default" w:ascii="Times New Roman" w:hAnsi="Times New Roman" w:cs="Times New Roman"/>
              <w:b w:val="0"/>
              <w:bCs/>
            </w:rPr>
            <w:fldChar w:fldCharType="separate"/>
          </w:r>
          <w:r>
            <w:rPr>
              <w:rFonts w:hint="default" w:ascii="Times New Roman" w:hAnsi="Times New Roman" w:cs="Times New Roman"/>
              <w:b w:val="0"/>
              <w:bCs/>
            </w:rPr>
            <w:t>59</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D48AC2A">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"_Toc18910"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培强外贸企业梯队</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_Toc18910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59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C31272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"_Toc27719"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大力发展数字贸易</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_Toc27719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15DD4AF">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"_Toc19130"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提质扩容服务贸易</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_Toc19130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35C477A">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"_Toc20425"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深化双向投资合作</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_Toc20425 \h </w:instrText>
          </w:r>
          <w:r>
            <w:rPr>
              <w:rFonts w:hint="default" w:ascii="Times New Roman" w:hAnsi="Times New Roman" w:cs="Times New Roman"/>
              <w:b w:val="0"/>
              <w:bCs/>
            </w:rPr>
            <w:fldChar w:fldCharType="separate"/>
          </w:r>
          <w:r>
            <w:rPr>
              <w:rFonts w:hint="default" w:ascii="Times New Roman" w:hAnsi="Times New Roman" w:cs="Times New Roman"/>
              <w:b w:val="0"/>
              <w:bCs/>
            </w:rPr>
            <w:t>61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1DDAF61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"_Toc19222"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拓展利用外资渠道</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_Toc19222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4D33FF7">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"_Toc13999"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有序扩大对外投资</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_Toc13999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492D2D9">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"_Toc9364"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第七篇  提升城市承载能力，深入推进新型城镇化</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_Toc9364 \h </w:instrText>
          </w:r>
          <w:r>
            <w:rPr>
              <w:rFonts w:hint="default" w:ascii="Times New Roman" w:hAnsi="Times New Roman" w:cs="Times New Roman"/>
              <w:b w:val="0"/>
              <w:bCs/>
            </w:rPr>
            <w:fldChar w:fldCharType="separate"/>
          </w:r>
          <w:r>
            <w:rPr>
              <w:rFonts w:hint="default" w:ascii="Times New Roman" w:hAnsi="Times New Roman" w:cs="Times New Roman"/>
              <w:b w:val="0"/>
              <w:bCs/>
            </w:rPr>
            <w:t>63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DB17767">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"_Toc11592"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优化全域空间布局</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_Toc11592 \h </w:instrText>
          </w:r>
          <w:r>
            <w:rPr>
              <w:rFonts w:hint="default" w:ascii="Times New Roman" w:hAnsi="Times New Roman" w:cs="Times New Roman"/>
              <w:b w:val="0"/>
              <w:bCs/>
            </w:rPr>
            <w:fldChar w:fldCharType="separate"/>
          </w:r>
          <w:r>
            <w:rPr>
              <w:rFonts w:hint="default" w:ascii="Times New Roman" w:hAnsi="Times New Roman" w:cs="Times New Roman"/>
              <w:b w:val="0"/>
              <w:bCs/>
            </w:rPr>
            <w:t>63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E361115">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"_Toc11949"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构建“一核两轴三镇”城镇空间布局</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_Toc11949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9FC31E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"_Toc24555"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构建“一心两带”生态空间布局</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_Toc24555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9B20E5A">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"_Toc21534"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提升新型城镇化水平</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_Toc21534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582B953">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"_Toc10036"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推动产城人融合发展</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_Toc10036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2952592">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"_Toc2198"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提升城市功能品质</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_Toc2198 \h </w:instrText>
          </w:r>
          <w:r>
            <w:rPr>
              <w:rFonts w:hint="default" w:ascii="Times New Roman" w:hAnsi="Times New Roman" w:cs="Times New Roman"/>
              <w:b w:val="0"/>
              <w:bCs/>
            </w:rPr>
            <w:fldChar w:fldCharType="separate"/>
          </w:r>
          <w:r>
            <w:rPr>
              <w:rFonts w:hint="default" w:ascii="Times New Roman" w:hAnsi="Times New Roman" w:cs="Times New Roman"/>
              <w:b w:val="0"/>
              <w:bCs/>
            </w:rPr>
            <w:t>66</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0982D17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"_Toc22388"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稳步推进城市更新</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_Toc22388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0C8A47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"_Toc18685"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完善城市基础设施与公共服务</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_Toc18685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08C0244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"_Toc29797"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促进房地产平稳健康发展</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_Toc29797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B39982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"_Toc25296"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推进交通设施一体化</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_Toc25296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69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E295AE7">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"_Toc13207"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打造安全高效现代水网</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_Toc13207 \h </w:instrText>
          </w:r>
          <w:r>
            <w:rPr>
              <w:rFonts w:hint="default" w:ascii="Times New Roman" w:hAnsi="Times New Roman" w:cs="Times New Roman"/>
              <w:b w:val="0"/>
              <w:bCs/>
            </w:rPr>
            <w:fldChar w:fldCharType="separate"/>
          </w:r>
          <w:r>
            <w:rPr>
              <w:rFonts w:hint="default" w:ascii="Times New Roman" w:hAnsi="Times New Roman" w:cs="Times New Roman"/>
              <w:b w:val="0"/>
              <w:bCs/>
            </w:rPr>
            <w:t>71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977A3F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"_Toc25435"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推进水资源安全高效利用</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_Toc25435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581DD00">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"_Toc19255"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强化河流水网治理</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_Toc19255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25183EA">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"_Toc21984"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第八篇  加快农业农村现代化，扎实推进乡村全面振兴</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_Toc21984 \h </w:instrText>
          </w:r>
          <w:r>
            <w:rPr>
              <w:rFonts w:hint="default" w:ascii="Times New Roman" w:hAnsi="Times New Roman" w:cs="Times New Roman"/>
              <w:b w:val="0"/>
              <w:bCs/>
            </w:rPr>
            <w:fldChar w:fldCharType="separate"/>
          </w:r>
          <w:r>
            <w:rPr>
              <w:rFonts w:hint="default" w:ascii="Times New Roman" w:hAnsi="Times New Roman" w:cs="Times New Roman"/>
              <w:b w:val="0"/>
              <w:bCs/>
            </w:rPr>
            <w:t>73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7D706C4B">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"_Toc14364"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推进现代农业高效发展</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_Toc14364 \h </w:instrText>
          </w:r>
          <w:r>
            <w:rPr>
              <w:rFonts w:hint="default" w:ascii="Times New Roman" w:hAnsi="Times New Roman" w:cs="Times New Roman"/>
              <w:b w:val="0"/>
              <w:bCs/>
            </w:rPr>
            <w:fldChar w:fldCharType="separate"/>
          </w:r>
          <w:r>
            <w:rPr>
              <w:rFonts w:hint="default" w:ascii="Times New Roman" w:hAnsi="Times New Roman" w:cs="Times New Roman"/>
              <w:b w:val="0"/>
              <w:bCs/>
            </w:rPr>
            <w:t>73</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0E8A5D0">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"_Toc28657"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保障重要农产品供给</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_Toc28657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F2FB59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"_Toc15685"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推进农业产业现代化</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_Toc15685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B76E136">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"_Toc1406"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推动农业科技创新和绿色发展</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_Toc1406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DAE95D8">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"_Toc12326"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建设宜居宜业和美乡村</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_Toc12326 \h </w:instrText>
          </w:r>
          <w:r>
            <w:rPr>
              <w:rFonts w:hint="default" w:ascii="Times New Roman" w:hAnsi="Times New Roman" w:cs="Times New Roman"/>
              <w:b w:val="0"/>
              <w:bCs/>
            </w:rPr>
            <w:fldChar w:fldCharType="separate"/>
          </w:r>
          <w:r>
            <w:rPr>
              <w:rFonts w:hint="default" w:ascii="Times New Roman" w:hAnsi="Times New Roman" w:cs="Times New Roman"/>
              <w:b w:val="0"/>
              <w:bCs/>
            </w:rPr>
            <w:t>75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263A336">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"_Toc10853"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提升标准片区建设</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_Toc10853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62C1F2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推进和美乡村创建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_Toc116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C3CED2F">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"_Toc21903"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壮大农村集体经济</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_Toc21903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F14C161">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"_Toc8026"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巩固拓宽农民增收渠道</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_Toc8026 \h </w:instrText>
          </w:r>
          <w:r>
            <w:rPr>
              <w:rFonts w:hint="default" w:ascii="Times New Roman" w:hAnsi="Times New Roman" w:cs="Times New Roman"/>
              <w:b w:val="0"/>
              <w:bCs/>
            </w:rPr>
            <w:fldChar w:fldCharType="separate"/>
          </w:r>
          <w:r>
            <w:rPr>
              <w:rFonts w:hint="default" w:ascii="Times New Roman" w:hAnsi="Times New Roman" w:cs="Times New Roman"/>
              <w:b w:val="0"/>
              <w:bCs/>
            </w:rPr>
            <w:t>76</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D647B9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"_Toc14807"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筑牢增收产业基础</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_Toc14807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63E4976">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"_Toc18740"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提升就业创业质量</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_Toc18740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8F6CEA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"_Toc27475"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巩固脱贫攻坚成果</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_Toc27475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E40ACFB">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"_Toc3651" </w:instrText>
          </w:r>
          <w:r>
            <w:rPr>
              <w:rFonts w:hint="default" w:ascii="Times New Roman" w:hAnsi="Times New Roman" w:cs="Times New Roman"/>
              <w:b w:val="0"/>
              <w:bCs/>
            </w:rPr>
            <w:fldChar w:fldCharType="separate"/>
          </w:r>
          <w:r>
            <w:rPr>
              <w:rFonts w:hint="default" w:ascii="Times New Roman" w:hAnsi="Times New Roman" w:eastAsia="方正小标宋简体" w:cs="Times New Roman"/>
              <w:b w:val="0"/>
              <w:bCs/>
              <w:spacing w:val="-6"/>
              <w:szCs w:val="36"/>
            </w:rPr>
            <w:t>第九篇  深入推进文化“两创”，提升精神文明建设水平</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_Toc3651 \h </w:instrText>
          </w:r>
          <w:r>
            <w:rPr>
              <w:rFonts w:hint="default" w:ascii="Times New Roman" w:hAnsi="Times New Roman" w:cs="Times New Roman"/>
              <w:b w:val="0"/>
              <w:bCs/>
            </w:rPr>
            <w:fldChar w:fldCharType="separate"/>
          </w:r>
          <w:r>
            <w:rPr>
              <w:rFonts w:hint="default" w:ascii="Times New Roman" w:hAnsi="Times New Roman" w:cs="Times New Roman"/>
              <w:b w:val="0"/>
              <w:bCs/>
            </w:rPr>
            <w:t>79</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6BFC71ED">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"_Toc23479"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践行社会主义核心价值观</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_Toc23479 \h </w:instrText>
          </w:r>
          <w:r>
            <w:rPr>
              <w:rFonts w:hint="default" w:ascii="Times New Roman" w:hAnsi="Times New Roman" w:cs="Times New Roman"/>
              <w:b w:val="0"/>
              <w:bCs/>
            </w:rPr>
            <w:fldChar w:fldCharType="separate"/>
          </w:r>
          <w:r>
            <w:rPr>
              <w:rFonts w:hint="default" w:ascii="Times New Roman" w:hAnsi="Times New Roman" w:cs="Times New Roman"/>
              <w:b w:val="0"/>
              <w:bCs/>
            </w:rPr>
            <w:t>79</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FEBEE8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"_Toc6658"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巩固壮大主流思想舆论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_Toc6658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79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941880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"_Toc20192"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提升精神文明建设水平</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_Toc20192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775E030">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"_Toc30197"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打造“端信兖州”文化品牌</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_Toc30197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B688F82">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"_Toc12505"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塑强兖州特色文旅产业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_Toc12505 \h </w:instrText>
          </w:r>
          <w:r>
            <w:rPr>
              <w:rFonts w:hint="default" w:ascii="Times New Roman" w:hAnsi="Times New Roman" w:cs="Times New Roman"/>
              <w:b w:val="0"/>
              <w:bCs/>
            </w:rPr>
            <w:fldChar w:fldCharType="separate"/>
          </w:r>
          <w:r>
            <w:rPr>
              <w:rFonts w:hint="default" w:ascii="Times New Roman" w:hAnsi="Times New Roman" w:cs="Times New Roman"/>
              <w:b w:val="0"/>
              <w:bCs/>
            </w:rPr>
            <w:t>81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68D928C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"_Toc11313"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加强文化遗产保护传承与利用</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_Toc11313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623DCE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"_Toc16591"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构建全域旅游发展新格局</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_Toc16591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E83AA95">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"_Toc3825"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健全现代公共文化服务</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_Toc3825 \h </w:instrText>
          </w:r>
          <w:r>
            <w:rPr>
              <w:rFonts w:hint="default" w:ascii="Times New Roman" w:hAnsi="Times New Roman" w:cs="Times New Roman"/>
              <w:b w:val="0"/>
              <w:bCs/>
            </w:rPr>
            <w:fldChar w:fldCharType="separate"/>
          </w:r>
          <w:r>
            <w:rPr>
              <w:rFonts w:hint="default" w:ascii="Times New Roman" w:hAnsi="Times New Roman" w:cs="Times New Roman"/>
              <w:b w:val="0"/>
              <w:bCs/>
            </w:rPr>
            <w:t>82</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7204E26">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"_Toc24779"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实施文化惠民工程</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_Toc24779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A8243A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"_Toc21995"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大力发展体育事业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_Toc21995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87FA21A">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"_Toc6197"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第十篇  持续增进民生福祉，聚力提高人民生活品质</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_Toc6197 \h </w:instrText>
          </w:r>
          <w:r>
            <w:rPr>
              <w:rFonts w:hint="default" w:ascii="Times New Roman" w:hAnsi="Times New Roman" w:cs="Times New Roman"/>
              <w:b w:val="0"/>
              <w:bCs/>
            </w:rPr>
            <w:fldChar w:fldCharType="separate"/>
          </w:r>
          <w:r>
            <w:rPr>
              <w:rFonts w:hint="default" w:ascii="Times New Roman" w:hAnsi="Times New Roman" w:cs="Times New Roman"/>
              <w:b w:val="0"/>
              <w:bCs/>
            </w:rPr>
            <w:t>84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764D943E">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"_Toc1865"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实施就业优先战略</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_Toc1865 \h </w:instrText>
          </w:r>
          <w:r>
            <w:rPr>
              <w:rFonts w:hint="default" w:ascii="Times New Roman" w:hAnsi="Times New Roman" w:cs="Times New Roman"/>
              <w:b w:val="0"/>
              <w:bCs/>
            </w:rPr>
            <w:fldChar w:fldCharType="separate"/>
          </w:r>
          <w:r>
            <w:rPr>
              <w:rFonts w:hint="default" w:ascii="Times New Roman" w:hAnsi="Times New Roman" w:cs="Times New Roman"/>
              <w:b w:val="0"/>
              <w:bCs/>
            </w:rPr>
            <w:t>84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351855E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"_Toc1894"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全力稳定扩大就业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_Toc1894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7908A0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"_Toc4467"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提升就业服务效能</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_Toc4467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186A62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"_Toc15573"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构建和谐劳动关系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_Toc15573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02CA46AB">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eastAsia="方正黑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"_Toc25605"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办好人民满意教育</w:t>
          </w:r>
          <w:r>
            <w:rPr>
              <w:rFonts w:hint="default" w:ascii="Times New Roman" w:hAnsi="Times New Roman" w:eastAsia="方正黑体简体" w:cs="Times New Roman"/>
              <w:b w:val="0"/>
              <w:bCs/>
            </w:rPr>
            <w:tab/>
          </w:r>
          <w:r>
            <w:rPr>
              <w:rFonts w:hint="default" w:ascii="Times New Roman" w:hAnsi="Times New Roman" w:eastAsia="方正黑体简体" w:cs="Times New Roman"/>
              <w:b w:val="0"/>
              <w:bCs/>
            </w:rPr>
            <w:fldChar w:fldCharType="begin"/>
          </w:r>
          <w:r>
            <w:rPr>
              <w:rFonts w:hint="default" w:ascii="Times New Roman" w:hAnsi="Times New Roman" w:eastAsia="方正黑体简体" w:cs="Times New Roman"/>
              <w:b w:val="0"/>
              <w:bCs/>
            </w:rPr>
            <w:instrText xml:space="preserve"> PAGEREF _Toc25605 \h </w:instrText>
          </w:r>
          <w:r>
            <w:rPr>
              <w:rFonts w:hint="default" w:ascii="Times New Roman" w:hAnsi="Times New Roman" w:eastAsia="方正黑体简体" w:cs="Times New Roman"/>
              <w:b w:val="0"/>
              <w:bCs/>
            </w:rPr>
            <w:fldChar w:fldCharType="separate"/>
          </w:r>
          <w:r>
            <w:rPr>
              <w:rFonts w:hint="default" w:ascii="Times New Roman" w:hAnsi="Times New Roman" w:eastAsia="方正黑体简体" w:cs="Times New Roman"/>
              <w:b w:val="0"/>
              <w:bCs/>
            </w:rPr>
            <w:t>85</w:t>
          </w:r>
          <w:r>
            <w:rPr>
              <w:rFonts w:hint="default" w:ascii="Times New Roman" w:hAnsi="Times New Roman" w:eastAsia="方正黑体简体" w:cs="Times New Roman"/>
              <w:b w:val="0"/>
              <w:bCs/>
            </w:rPr>
            <w:fldChar w:fldCharType="end"/>
          </w:r>
          <w:r>
            <w:rPr>
              <w:rFonts w:hint="default" w:ascii="Times New Roman" w:hAnsi="Times New Roman" w:eastAsia="方正黑体简体" w:cs="Times New Roman"/>
              <w:b w:val="0"/>
              <w:bCs/>
            </w:rPr>
            <w:fldChar w:fldCharType="end"/>
          </w:r>
        </w:p>
        <w:p w14:paraId="2D15AD1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"_Toc8355"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构建全面育人长效体系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_Toc8355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30E12F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"_Toc2476"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促进教育资源优质均衡</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_Toc2476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B18D9F4">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"_Toc4499"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增强教育服务发展能力</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_Toc4499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33FFE61">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"_Toc4548"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健全社会保障体系</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_Toc4548 \h </w:instrText>
          </w:r>
          <w:r>
            <w:rPr>
              <w:rFonts w:hint="default" w:ascii="Times New Roman" w:hAnsi="Times New Roman" w:cs="Times New Roman"/>
              <w:b w:val="0"/>
              <w:bCs/>
            </w:rPr>
            <w:fldChar w:fldCharType="separate"/>
          </w:r>
          <w:r>
            <w:rPr>
              <w:rFonts w:hint="default" w:ascii="Times New Roman" w:hAnsi="Times New Roman" w:cs="Times New Roman"/>
              <w:b w:val="0"/>
              <w:bCs/>
            </w:rPr>
            <w:t>87</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13E504B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"_Toc26288"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筑牢社会保障制度基石</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_Toc26288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87</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5DCC18A">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"_Toc20447"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提升重点群体服务保障</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_Toc20447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F8C1DB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"_Toc25388"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优化社会保障服务供给</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_Toc25388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DC4B1E3">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"_Toc26791"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第四章  加快健康兖州建设</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_Toc26791 \h </w:instrText>
          </w:r>
          <w:r>
            <w:rPr>
              <w:rFonts w:hint="default" w:ascii="Times New Roman" w:hAnsi="Times New Roman" w:cs="Times New Roman"/>
              <w:b w:val="0"/>
              <w:bCs/>
            </w:rPr>
            <w:fldChar w:fldCharType="separate"/>
          </w:r>
          <w:r>
            <w:rPr>
              <w:rFonts w:hint="default" w:ascii="Times New Roman" w:hAnsi="Times New Roman" w:cs="Times New Roman"/>
              <w:b w:val="0"/>
              <w:bCs/>
            </w:rPr>
            <w:t>89</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031EC29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"_Toc22083"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提升区域医疗水平</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_Toc22083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89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7C7BB97">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"_Toc7865"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完善公共卫生体系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_Toc7865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5EB64B3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"_Toc12069"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提升全民健康素养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_Toc12069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151DFF5">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"_Toc10090"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第十一篇  推动绿色转型发展，加快建设美丽兖州</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_Toc10090 \h </w:instrText>
          </w:r>
          <w:r>
            <w:rPr>
              <w:rFonts w:hint="default" w:ascii="Times New Roman" w:hAnsi="Times New Roman" w:cs="Times New Roman"/>
              <w:b w:val="0"/>
              <w:bCs/>
            </w:rPr>
            <w:fldChar w:fldCharType="separate"/>
          </w:r>
          <w:r>
            <w:rPr>
              <w:rFonts w:hint="default" w:ascii="Times New Roman" w:hAnsi="Times New Roman" w:cs="Times New Roman"/>
              <w:b w:val="0"/>
              <w:bCs/>
            </w:rPr>
            <w:t>91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15186846">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"_Toc19759"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稳妥推进“碳达峰碳中和”</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_Toc19759 \h </w:instrText>
          </w:r>
          <w:r>
            <w:rPr>
              <w:rFonts w:hint="default" w:ascii="Times New Roman" w:hAnsi="Times New Roman" w:cs="Times New Roman"/>
              <w:b w:val="0"/>
              <w:bCs/>
            </w:rPr>
            <w:fldChar w:fldCharType="separate"/>
          </w:r>
          <w:r>
            <w:rPr>
              <w:rFonts w:hint="default" w:ascii="Times New Roman" w:hAnsi="Times New Roman" w:cs="Times New Roman"/>
              <w:b w:val="0"/>
              <w:bCs/>
            </w:rPr>
            <w:t>91</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158948A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"_Toc20115"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推进能源结构稳步转型</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_Toc20115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060E477">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"_Toc22273"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协同推进碳排放“双控”</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_Toc22273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7550431">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"_Toc10708"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倡树绿色低碳生活新风</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_Toc10708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3483C05">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"_Toc30517"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大力推进污染防治攻坚</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_Toc30517 \h </w:instrText>
          </w:r>
          <w:r>
            <w:rPr>
              <w:rFonts w:hint="default" w:ascii="Times New Roman" w:hAnsi="Times New Roman" w:cs="Times New Roman"/>
              <w:b w:val="0"/>
              <w:bCs/>
            </w:rPr>
            <w:fldChar w:fldCharType="separate"/>
          </w:r>
          <w:r>
            <w:rPr>
              <w:rFonts w:hint="default" w:ascii="Times New Roman" w:hAnsi="Times New Roman" w:cs="Times New Roman"/>
              <w:b w:val="0"/>
              <w:bCs/>
            </w:rPr>
            <w:t>94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F869E72">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"_Toc24311"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持续深入打好蓝天保卫战</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_Toc24311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0F35BC8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"_Toc5047"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持续深入打好碧水保卫战</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_Toc5047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94</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267A95D">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"_Toc24146"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持续深入打好净土保卫战</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_Toc24146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95</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A1DA6EB">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"_Toc32028"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系统推进生态保护修复</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_Toc32028 \h </w:instrText>
          </w:r>
          <w:r>
            <w:rPr>
              <w:rFonts w:hint="default" w:ascii="Times New Roman" w:hAnsi="Times New Roman" w:cs="Times New Roman"/>
              <w:b w:val="0"/>
              <w:bCs/>
            </w:rPr>
            <w:fldChar w:fldCharType="separate"/>
          </w:r>
          <w:r>
            <w:rPr>
              <w:rFonts w:hint="default" w:ascii="Times New Roman" w:hAnsi="Times New Roman" w:cs="Times New Roman"/>
              <w:b w:val="0"/>
              <w:bCs/>
            </w:rPr>
            <w:t>96</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9E9815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"_Toc14687"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统筹生态系统治理</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_Toc14687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17A94C5">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"_Toc15715"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提升资源保护利用</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_Toc15715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96</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43FDDE4">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"_Toc16095"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第十二篇  统筹发展和安全，建设更高水平平安兖州</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_Toc16095 \h </w:instrText>
          </w:r>
          <w:r>
            <w:rPr>
              <w:rFonts w:hint="default" w:ascii="Times New Roman" w:hAnsi="Times New Roman" w:cs="Times New Roman"/>
              <w:b w:val="0"/>
              <w:bCs/>
            </w:rPr>
            <w:fldChar w:fldCharType="separate"/>
          </w:r>
          <w:r>
            <w:rPr>
              <w:rFonts w:hint="default" w:ascii="Times New Roman" w:hAnsi="Times New Roman" w:cs="Times New Roman"/>
              <w:b w:val="0"/>
              <w:bCs/>
            </w:rPr>
            <w:t>98</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AA3C3EA">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"_Toc10755"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贯彻总体国家安全观</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_Toc10755 \h </w:instrText>
          </w:r>
          <w:r>
            <w:rPr>
              <w:rFonts w:hint="default" w:ascii="Times New Roman" w:hAnsi="Times New Roman" w:cs="Times New Roman"/>
              <w:b w:val="0"/>
              <w:bCs/>
            </w:rPr>
            <w:fldChar w:fldCharType="separate"/>
          </w:r>
          <w:r>
            <w:rPr>
              <w:rFonts w:hint="default" w:ascii="Times New Roman" w:hAnsi="Times New Roman" w:cs="Times New Roman"/>
              <w:b w:val="0"/>
              <w:bCs/>
            </w:rPr>
            <w:t>98</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1B9CF315">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"_Toc4415"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健全政治安全风险防控体系</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_Toc4415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98</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31DAA3E9">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"_Toc15164"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加强重点领域安全能力建设</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_Toc15164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85E8EAD">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"_Toc20774"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夯实民族团结和谐发展根基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_Toc20774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99</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1C79959">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"_Toc31479"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提高公共安全治理水平</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_Toc31479 \h </w:instrText>
          </w:r>
          <w:r>
            <w:rPr>
              <w:rFonts w:hint="default" w:ascii="Times New Roman" w:hAnsi="Times New Roman" w:cs="Times New Roman"/>
              <w:b w:val="0"/>
              <w:bCs/>
            </w:rPr>
            <w:fldChar w:fldCharType="separate"/>
          </w:r>
          <w:r>
            <w:rPr>
              <w:rFonts w:hint="default" w:ascii="Times New Roman" w:hAnsi="Times New Roman" w:cs="Times New Roman"/>
              <w:b w:val="0"/>
              <w:bCs/>
            </w:rPr>
            <w:t>100</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64BA515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"_Toc1350"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全力维护社会平安稳定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_Toc1350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99CDAF7">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"_Toc12230"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全面提高社会治理效能</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_Toc12230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100</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66E86E5E">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"_Toc29163"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深化安全生产治本攻坚</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_Toc29163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32B90FE">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"_Toc19649"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第四节  强化公共安全风险防范</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_Toc19649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101</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457E4BB">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"_Toc26081"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第五节  提升应急救援处置能力</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_Toc26081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282FADB3">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"_Toc13641"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推进法治兖州建设</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_Toc13641 \h </w:instrText>
          </w:r>
          <w:r>
            <w:rPr>
              <w:rFonts w:hint="default" w:ascii="Times New Roman" w:hAnsi="Times New Roman" w:cs="Times New Roman"/>
              <w:b w:val="0"/>
              <w:bCs/>
            </w:rPr>
            <w:fldChar w:fldCharType="separate"/>
          </w:r>
          <w:r>
            <w:rPr>
              <w:rFonts w:hint="default" w:ascii="Times New Roman" w:hAnsi="Times New Roman" w:cs="Times New Roman"/>
              <w:b w:val="0"/>
              <w:bCs/>
            </w:rPr>
            <w:t>102</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659E3A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"_Toc28583"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第一节  纵深推进依法治区</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_Toc28583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102</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1C594C9C">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eastAsia="方正楷体简体"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"_Toc7169"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第二节  强化法治政府建设</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_Toc7169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4B1BEAC8">
          <w:pPr>
            <w:pStyle w:val="14"/>
            <w:keepNext w:val="0"/>
            <w:keepLines w:val="0"/>
            <w:pageBreakBefore w:val="0"/>
            <w:widowControl w:val="0"/>
            <w:tabs>
              <w:tab w:val="right" w:leader="dot" w:pos="8730"/>
            </w:tabs>
            <w:kinsoku/>
            <w:wordWrap/>
            <w:overflowPunct w:val="0"/>
            <w:topLinePunct w:val="0"/>
            <w:autoSpaceDE/>
            <w:autoSpaceDN/>
            <w:bidi w:val="0"/>
            <w:spacing w:line="560" w:lineRule="exact"/>
            <w:ind w:left="1280" w:firstLine="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"_Toc17666" </w:instrText>
          </w:r>
          <w:r>
            <w:rPr>
              <w:rFonts w:hint="default" w:ascii="Times New Roman" w:hAnsi="Times New Roman" w:cs="Times New Roman"/>
              <w:b w:val="0"/>
              <w:bCs/>
            </w:rPr>
            <w:fldChar w:fldCharType="separate"/>
          </w:r>
          <w:r>
            <w:rPr>
              <w:rFonts w:hint="default" w:ascii="Times New Roman" w:hAnsi="Times New Roman" w:eastAsia="方正楷体简体" w:cs="Times New Roman"/>
              <w:b w:val="0"/>
              <w:bCs/>
            </w:rPr>
            <w:t>第三节  提升法治治理水平</w:t>
          </w:r>
          <w:r>
            <w:rPr>
              <w:rFonts w:hint="default" w:ascii="Times New Roman" w:hAnsi="Times New Roman" w:eastAsia="方正楷体简体" w:cs="Times New Roman"/>
              <w:b w:val="0"/>
              <w:bCs/>
            </w:rPr>
            <w:tab/>
          </w:r>
          <w:r>
            <w:rPr>
              <w:rFonts w:hint="default" w:ascii="Times New Roman" w:hAnsi="Times New Roman" w:eastAsia="方正楷体简体" w:cs="Times New Roman"/>
              <w:b w:val="0"/>
              <w:bCs/>
            </w:rPr>
            <w:fldChar w:fldCharType="begin"/>
          </w:r>
          <w:r>
            <w:rPr>
              <w:rFonts w:hint="default" w:ascii="Times New Roman" w:hAnsi="Times New Roman" w:eastAsia="方正楷体简体" w:cs="Times New Roman"/>
              <w:b w:val="0"/>
              <w:bCs/>
            </w:rPr>
            <w:instrText xml:space="preserve"> PAGEREF _Toc17666 \h </w:instrText>
          </w:r>
          <w:r>
            <w:rPr>
              <w:rFonts w:hint="default" w:ascii="Times New Roman" w:hAnsi="Times New Roman" w:eastAsia="方正楷体简体" w:cs="Times New Roman"/>
              <w:b w:val="0"/>
              <w:bCs/>
            </w:rPr>
            <w:fldChar w:fldCharType="separate"/>
          </w:r>
          <w:r>
            <w:rPr>
              <w:rFonts w:hint="default" w:ascii="Times New Roman" w:hAnsi="Times New Roman" w:eastAsia="方正楷体简体" w:cs="Times New Roman"/>
              <w:b w:val="0"/>
              <w:bCs/>
            </w:rPr>
            <w:t>103</w:t>
          </w:r>
          <w:r>
            <w:rPr>
              <w:rFonts w:hint="default" w:ascii="Times New Roman" w:hAnsi="Times New Roman" w:eastAsia="方正楷体简体" w:cs="Times New Roman"/>
              <w:b w:val="0"/>
              <w:bCs/>
            </w:rPr>
            <w:fldChar w:fldCharType="end"/>
          </w:r>
          <w:r>
            <w:rPr>
              <w:rFonts w:hint="default" w:ascii="Times New Roman" w:hAnsi="Times New Roman" w:eastAsia="方正楷体简体" w:cs="Times New Roman"/>
              <w:b w:val="0"/>
              <w:bCs/>
            </w:rPr>
            <w:fldChar w:fldCharType="end"/>
          </w:r>
        </w:p>
        <w:p w14:paraId="70279ED1">
          <w:pPr>
            <w:pStyle w:val="19"/>
            <w:keepNext w:val="0"/>
            <w:keepLines w:val="0"/>
            <w:pageBreakBefore w:val="0"/>
            <w:widowControl w:val="0"/>
            <w:tabs>
              <w:tab w:val="right" w:leader="dot" w:pos="8730"/>
            </w:tabs>
            <w:kinsoku/>
            <w:wordWrap/>
            <w:overflowPunct w:val="0"/>
            <w:topLinePunct w:val="0"/>
            <w:autoSpaceDE/>
            <w:autoSpaceDN/>
            <w:bidi w:val="0"/>
            <w:spacing w:line="560" w:lineRule="exact"/>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"_Toc16001" </w:instrText>
          </w:r>
          <w:r>
            <w:rPr>
              <w:rFonts w:hint="default" w:ascii="Times New Roman" w:hAnsi="Times New Roman" w:cs="Times New Roman"/>
              <w:b w:val="0"/>
              <w:bCs/>
            </w:rPr>
            <w:fldChar w:fldCharType="separate"/>
          </w:r>
          <w:r>
            <w:rPr>
              <w:rFonts w:hint="default" w:ascii="Times New Roman" w:hAnsi="Times New Roman" w:eastAsia="方正小标宋_GBK" w:cs="Times New Roman"/>
              <w:b w:val="0"/>
              <w:bCs/>
              <w:szCs w:val="36"/>
            </w:rPr>
            <w:t>第十三篇  坚持和加强党的全面领导，为“十五五” 规划顺利实现提供坚实保障</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_Toc16001 \h </w:instrText>
          </w:r>
          <w:r>
            <w:rPr>
              <w:rFonts w:hint="default" w:ascii="Times New Roman" w:hAnsi="Times New Roman" w:cs="Times New Roman"/>
              <w:b w:val="0"/>
              <w:bCs/>
            </w:rPr>
            <w:fldChar w:fldCharType="separate"/>
          </w:r>
          <w:r>
            <w:rPr>
              <w:rFonts w:hint="default" w:ascii="Times New Roman" w:hAnsi="Times New Roman" w:cs="Times New Roman"/>
              <w:b w:val="0"/>
              <w:bCs/>
            </w:rPr>
            <w:t>104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7A3B55F">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"_Toc14450"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第一章  坚持党的全面领导</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_Toc14450 \h </w:instrText>
          </w:r>
          <w:r>
            <w:rPr>
              <w:rFonts w:hint="default" w:ascii="Times New Roman" w:hAnsi="Times New Roman" w:cs="Times New Roman"/>
              <w:b w:val="0"/>
              <w:bCs/>
            </w:rPr>
            <w:fldChar w:fldCharType="separate"/>
          </w:r>
          <w:r>
            <w:rPr>
              <w:rFonts w:hint="default" w:ascii="Times New Roman" w:hAnsi="Times New Roman" w:cs="Times New Roman"/>
              <w:b w:val="0"/>
              <w:bCs/>
            </w:rPr>
            <w:t>104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5E60FC9B">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"_Toc2945"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第二章  健全统一规划体系</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_Toc2945 \h </w:instrText>
          </w:r>
          <w:r>
            <w:rPr>
              <w:rFonts w:hint="default" w:ascii="Times New Roman" w:hAnsi="Times New Roman" w:cs="Times New Roman"/>
              <w:b w:val="0"/>
              <w:bCs/>
            </w:rPr>
            <w:fldChar w:fldCharType="separate"/>
          </w:r>
          <w:r>
            <w:rPr>
              <w:rFonts w:hint="default" w:ascii="Times New Roman" w:hAnsi="Times New Roman" w:cs="Times New Roman"/>
              <w:b w:val="0"/>
              <w:bCs/>
            </w:rPr>
            <w:t>104</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22A0C687">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b w:val="0"/>
              <w:bCs/>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"_Toc13087"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第三章  强化资源要素保障</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_Toc13087 \h </w:instrText>
          </w:r>
          <w:r>
            <w:rPr>
              <w:rFonts w:hint="default" w:ascii="Times New Roman" w:hAnsi="Times New Roman" w:cs="Times New Roman"/>
              <w:b w:val="0"/>
              <w:bCs/>
            </w:rPr>
            <w:fldChar w:fldCharType="separate"/>
          </w:r>
          <w:r>
            <w:rPr>
              <w:rFonts w:hint="default" w:ascii="Times New Roman" w:hAnsi="Times New Roman" w:cs="Times New Roman"/>
              <w:b w:val="0"/>
              <w:bCs/>
            </w:rPr>
            <w:t>105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84E7136">
          <w:pPr>
            <w:pStyle w:val="22"/>
            <w:keepNext w:val="0"/>
            <w:keepLines w:val="0"/>
            <w:pageBreakBefore w:val="0"/>
            <w:widowControl w:val="0"/>
            <w:tabs>
              <w:tab w:val="right" w:leader="dot" w:pos="8730"/>
            </w:tabs>
            <w:kinsoku/>
            <w:wordWrap/>
            <w:overflowPunct w:val="0"/>
            <w:topLinePunct w:val="0"/>
            <w:autoSpaceDE/>
            <w:autoSpaceDN/>
            <w:bidi w:val="0"/>
            <w:spacing w:line="560" w:lineRule="exact"/>
            <w:ind w:left="640"/>
            <w:textAlignment w:val="auto"/>
            <w:rPr>
              <w:rFonts w:hint="default" w:ascii="Times New Roman" w:hAnsi="Times New Roman" w:cs="Times New Roman"/>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"_Toc28567" </w:instrText>
          </w:r>
          <w:r>
            <w:rPr>
              <w:rFonts w:hint="default" w:ascii="Times New Roman" w:hAnsi="Times New Roman" w:cs="Times New Roman"/>
              <w:b w:val="0"/>
              <w:bCs/>
            </w:rPr>
            <w:fldChar w:fldCharType="separate"/>
          </w:r>
          <w:r>
            <w:rPr>
              <w:rFonts w:hint="default" w:ascii="Times New Roman" w:hAnsi="Times New Roman" w:eastAsia="方正黑体简体" w:cs="Times New Roman"/>
              <w:b w:val="0"/>
              <w:bCs/>
            </w:rPr>
            <w:t>第四章  加强规划实施监督</w:t>
          </w:r>
          <w:r>
            <w:rPr>
              <w:rFonts w:hint="default" w:ascii="Times New Roman" w:hAnsi="Times New Roman" w:cs="Times New Roman"/>
              <w:b w:val="0"/>
              <w:bCs/>
            </w:rPr>
            <w:tab/>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PAGEREF _Toc28567 \h </w:instrText>
          </w:r>
          <w:r>
            <w:rPr>
              <w:rFonts w:hint="default" w:ascii="Times New Roman" w:hAnsi="Times New Roman" w:cs="Times New Roman"/>
              <w:b w:val="0"/>
              <w:bCs/>
            </w:rPr>
            <w:fldChar w:fldCharType="separate"/>
          </w:r>
          <w:r>
            <w:rPr>
              <w:rFonts w:hint="default" w:ascii="Times New Roman" w:hAnsi="Times New Roman" w:cs="Times New Roman"/>
              <w:b w:val="0"/>
              <w:bCs/>
            </w:rPr>
            <w:t>105</w:t>
          </w:r>
          <w:r>
            <w:rPr>
              <w:rFonts w:hint="default" w:ascii="Times New Roman" w:hAnsi="Times New Roman" w:cs="Times New Roman"/>
              <w:b w:val="0"/>
              <w:bCs/>
            </w:rPr>
            <w:fldChar w:fldCharType="end"/>
          </w:r>
          <w:r>
            <w:rPr>
              <w:rFonts w:hint="default" w:ascii="Times New Roman" w:hAnsi="Times New Roman" w:cs="Times New Roman"/>
              <w:b w:val="0"/>
              <w:bCs/>
            </w:rPr>
            <w:fldChar w:fldCharType="end"/>
          </w:r>
        </w:p>
        <w:p w14:paraId="46CA73EF">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小标宋_GBK" w:cs="Times New Roman"/>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2155" w:right="1588" w:bottom="1304" w:left="1588" w:header="1361" w:footer="1418" w:gutter="0"/>
              <w:pgNumType w:start="1"/>
              <w:cols w:space="425" w:num="1"/>
              <w:docGrid w:type="linesAndChars" w:linePitch="312" w:charSpace="0"/>
            </w:sectPr>
          </w:pPr>
          <w:r>
            <w:rPr>
              <w:rFonts w:hint="default" w:ascii="Times New Roman" w:hAnsi="Times New Roman" w:eastAsia="黑体" w:cs="Times New Roman"/>
              <w:bCs/>
              <w:szCs w:val="30"/>
            </w:rPr>
            <w:fldChar w:fldCharType="end"/>
          </w:r>
        </w:p>
      </w:sdtContent>
    </w:sdt>
    <w:p w14:paraId="01630B16">
      <w:pPr>
        <w:pStyle w:val="47"/>
        <w:keepNext w:val="0"/>
        <w:keepLines w:val="0"/>
        <w:overflowPunct w:val="0"/>
        <w:spacing w:line="560" w:lineRule="exact"/>
        <w:jc w:val="both"/>
        <w:rPr>
          <w:rFonts w:hint="default" w:ascii="Times New Roman" w:hAnsi="Times New Roman" w:eastAsia="方正小标宋_GBK" w:cs="Times New Roman"/>
          <w:sz w:val="36"/>
          <w:szCs w:val="36"/>
        </w:rPr>
      </w:pPr>
      <w:bookmarkStart w:id="0" w:name="_Toc24150"/>
      <w:bookmarkEnd w:id="0"/>
    </w:p>
    <w:p w14:paraId="19665691">
      <w:pPr>
        <w:pStyle w:val="47"/>
        <w:keepNext w:val="0"/>
        <w:keepLines w:val="0"/>
        <w:overflowPunct w:val="0"/>
        <w:spacing w:line="560" w:lineRule="exact"/>
        <w:rPr>
          <w:rFonts w:hint="default" w:ascii="Times New Roman" w:hAnsi="Times New Roman" w:eastAsia="方正小标宋_GBK" w:cs="Times New Roman"/>
          <w:sz w:val="36"/>
          <w:szCs w:val="36"/>
        </w:rPr>
      </w:pPr>
      <w:bookmarkStart w:id="1" w:name="_Toc13734"/>
      <w:r>
        <w:rPr>
          <w:rFonts w:hint="default" w:ascii="Times New Roman" w:hAnsi="Times New Roman" w:eastAsia="方正小标宋_GBK" w:cs="Times New Roman"/>
          <w:sz w:val="36"/>
          <w:szCs w:val="36"/>
        </w:rPr>
        <w:t>第一篇  扛牢使命担当，开启现代化强区建设新篇章</w:t>
      </w:r>
      <w:bookmarkEnd w:id="1"/>
    </w:p>
    <w:p w14:paraId="7A036C24">
      <w:pPr>
        <w:pStyle w:val="45"/>
        <w:overflowPunct w:val="0"/>
        <w:spacing w:before="312" w:beforeLines="100" w:after="312" w:afterLines="100" w:line="560" w:lineRule="exact"/>
        <w:rPr>
          <w:rFonts w:hint="default" w:ascii="Times New Roman" w:hAnsi="Times New Roman" w:eastAsia="方正黑体简体" w:cs="Times New Roman"/>
        </w:rPr>
      </w:pPr>
      <w:bookmarkStart w:id="2" w:name="_Toc30012"/>
      <w:bookmarkStart w:id="3" w:name="_Toc25449"/>
      <w:r>
        <w:rPr>
          <w:rFonts w:hint="default" w:ascii="Times New Roman" w:hAnsi="Times New Roman" w:eastAsia="方正黑体简体" w:cs="Times New Roman"/>
        </w:rPr>
        <w:t>第一章  “十四五”时期经济社会发展迈上新台阶</w:t>
      </w:r>
      <w:bookmarkEnd w:id="2"/>
      <w:bookmarkEnd w:id="3"/>
    </w:p>
    <w:p w14:paraId="5AFA2C78">
      <w:pPr>
        <w:overflowPunct w:val="0"/>
        <w:ind w:firstLine="640"/>
        <w:rPr>
          <w:rFonts w:hint="default" w:ascii="Times New Roman" w:hAnsi="Times New Roman" w:eastAsia="方正仿宋简体" w:cs="Times New Roman"/>
          <w:szCs w:val="32"/>
        </w:rPr>
      </w:pPr>
      <w:bookmarkStart w:id="4" w:name="_Toc31676"/>
      <w:r>
        <w:rPr>
          <w:rFonts w:hint="default" w:ascii="Times New Roman" w:hAnsi="Times New Roman" w:eastAsia="方正仿宋简体" w:cs="Times New Roman"/>
          <w:szCs w:val="32"/>
        </w:rPr>
        <w:t>“十四五”时期，面对复杂严峻的外部环境和艰巨繁重的改革发展稳定任务，在市委、市人民政府坚强领导下，区委、区人民政府团结带领全区人民，坚持以习近平新时代中国特色社会主义思想为指导，深入贯彻习近平总书记视察山东、视察济宁重要讲话和重要指示批示精神，完整准确全面贯彻新发展理念，主动服务和融入新发展格局，砥砺前行、真抓实干，加快推动绿色低碳高质量发展，圆满完成了“十四五”规划主要目标任务，社会主义现代化强区建设迈上新台阶。</w:t>
      </w:r>
    </w:p>
    <w:p w14:paraId="2D912886">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经济发展稳中向好，综合实力显著增强。</w:t>
      </w:r>
      <w:r>
        <w:rPr>
          <w:rFonts w:hint="default" w:ascii="Times New Roman" w:hAnsi="Times New Roman" w:eastAsia="方正仿宋简体" w:cs="Times New Roman"/>
          <w:szCs w:val="32"/>
        </w:rPr>
        <w:t>“十四五”末，全区地区生产总值达到676.13亿元，年均增长6.2%；一般公共预算收入实现59.1亿元，年均增长4.5%；社会消费品零售总额突破300亿元，年均增长8.1%。三次产业结构由2020年的5.6:49.9:44.5调整为5.2:44.7:50.1，三产占比提高5.6个百分点；“四上”企业总数达到887家，较2020年增加497家。兖州区成功入选山东省绿色低碳高质量发展先行区综合性区域试点，在连续两年获评全省高质量发展先进县的基础上，又获评全省高质量发展成效显著县，在全省发展格局中的战略位势不断提升。</w:t>
      </w:r>
    </w:p>
    <w:p w14:paraId="40345331">
      <w:pPr>
        <w:overflowPunct w:val="0"/>
        <w:ind w:firstLine="656"/>
        <w:rPr>
          <w:rFonts w:hint="default" w:ascii="Times New Roman" w:hAnsi="Times New Roman" w:eastAsia="方正仿宋简体" w:cs="Times New Roman"/>
          <w:spacing w:val="0"/>
          <w:sz w:val="32"/>
          <w:szCs w:val="32"/>
        </w:rPr>
      </w:pPr>
      <w:r>
        <w:rPr>
          <w:rFonts w:hint="default" w:ascii="Times New Roman" w:hAnsi="Times New Roman" w:eastAsia="方正楷体简体" w:cs="Times New Roman"/>
          <w:bCs/>
          <w:spacing w:val="0"/>
          <w:sz w:val="32"/>
          <w:szCs w:val="32"/>
        </w:rPr>
        <w:t>制造强区强力突破，产业能级持续提升。</w:t>
      </w:r>
      <w:r>
        <w:rPr>
          <w:rFonts w:hint="default" w:ascii="Times New Roman" w:hAnsi="Times New Roman" w:eastAsia="方正仿宋简体" w:cs="Times New Roman"/>
          <w:spacing w:val="0"/>
          <w:sz w:val="32"/>
          <w:szCs w:val="32"/>
        </w:rPr>
        <w:t>“3+3”先进制造业集群不断完善，形成龙头引领、链群协同的产业发展体系，全区规上工业企业总数达到196家、较2020年增加33家，规上工业营收突破940亿元、年均增长5%。智能农机装备产业获批国家特色产业集群，高端橡胶制品、装配式钢结构产业跻身省级特色产业集群，制造业增加值占比达到34%，天云智慧平台入选国家级数字化转型标杆。培育省级以上“专精特新”等优质企业131家、增加99家。太阳纸业、华勤集团稳居中国民营企业500强，打造“好品山东”品牌8个，获评山东省民营经济高质量发展先行区。累计实施省、市、区三级重点项目407个、投产377个，完成投资695亿元。山东时代新能源电池基地、华勤高端橡胶新材料产业园、太阳新材料产业园二期3个百亿级项目相继落地建设，太阳纸业漂白化学浆及碱回收、神州生物高端医药产业园、经典高端装配式建筑集成房屋等重点项目顺利推进，中欧国际数控机床产业园、GW级光储一体化、神州轮胎高性能子午线轮胎等项目竣工投产。兖州区先后获评山</w:t>
      </w:r>
      <w:r>
        <w:rPr>
          <w:rFonts w:hint="default" w:ascii="Times New Roman" w:hAnsi="Times New Roman" w:eastAsia="方正仿宋简体" w:cs="Times New Roman"/>
          <w:spacing w:val="-6"/>
          <w:sz w:val="32"/>
          <w:szCs w:val="32"/>
        </w:rPr>
        <w:t>东省工业强县、促进工业稳增长转型升级成效明显县、质量强县。</w:t>
      </w:r>
    </w:p>
    <w:p w14:paraId="4364AF70">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创新驱动成效凸显，内生动力不断集聚。</w:t>
      </w:r>
      <w:r>
        <w:rPr>
          <w:rFonts w:hint="default" w:ascii="Times New Roman" w:hAnsi="Times New Roman" w:eastAsia="方正仿宋简体" w:cs="Times New Roman"/>
          <w:szCs w:val="32"/>
        </w:rPr>
        <w:t>“十四五”末，全区全社会研发投入达到16.94亿元，占GDP比重提升至2.63%。每万人口高价值发明专利拥有量达到6.24件，较“十三五”末增加4.64件。国家高新技术企业达到215家、较2020年增加170家。高新技术产业产值占规上工业总产值比重提升至54.2%，较2020年提高14个百分点。与清华大学、中国科学院等60余所高校院所开展产学研合作，清华大学济宁未来先进材料与技术创新研究院、西安交通大学国家大学科技园兖州分园挂牌成立，累计引进大院大所22家，引育省级以上重点人才72人，省级以上创新平台增至136个。承担省级以上科技计划项目49项，获省科技进步奖7项、省长质量奖2个，兖州区先后获评山东省技术转移先进区、科技创新强县。</w:t>
      </w:r>
    </w:p>
    <w:p w14:paraId="080C7563">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区域发展协调推进，城市面貌逐步改善。</w:t>
      </w:r>
      <w:r>
        <w:rPr>
          <w:rFonts w:hint="default" w:ascii="Times New Roman" w:hAnsi="Times New Roman" w:eastAsia="方正仿宋简体" w:cs="Times New Roman"/>
          <w:szCs w:val="32"/>
        </w:rPr>
        <w:t>兖州工业园区稳居中国省级开发区高质量发展百强，获评山东省“数字经济”示范园区、山东省新型建筑工业化产业基地等荣誉。兖州高新区获批省级高新技术产业开发区，宁德时代济宁新能源产业园成功入围省级“零碳园区”试点。济宁农高园建成3个省级以上农业科技创新平台，形成以高档花卉、高效养殖等为主导的特色农业产业集群。鲁南高铁、济微高速、崇德大道、327国道改建等竣工通车，大安机场建成通航，新建改建城市道路25.4公里。12个安置社区竣工上房，老旧小区152个，更新水电气热雨污等各类管线386公里，新增集中供热面积280万平方米，建成5G基站891个，获评省新型智慧城市。常住人口城镇化率达到82.81%，较2020年提高12个百分点。完成河道治理69公里，新改建拦河闸坝、桥梁65座，金口坝入选山东省水利遗产，泗河兖州段获评国家级水利风景区。</w:t>
      </w:r>
    </w:p>
    <w:p w14:paraId="62D6C37E">
      <w:pPr>
        <w:overflowPunct w:val="0"/>
        <w:ind w:firstLine="656"/>
        <w:rPr>
          <w:rFonts w:hint="default" w:ascii="Times New Roman" w:hAnsi="Times New Roman" w:eastAsia="方正仿宋简体" w:cs="Times New Roman"/>
          <w:spacing w:val="-6"/>
          <w:sz w:val="32"/>
          <w:szCs w:val="32"/>
        </w:rPr>
      </w:pPr>
      <w:r>
        <w:rPr>
          <w:rFonts w:hint="default" w:ascii="Times New Roman" w:hAnsi="Times New Roman" w:eastAsia="方正楷体简体" w:cs="Times New Roman"/>
          <w:bCs/>
          <w:spacing w:val="4"/>
          <w:szCs w:val="32"/>
        </w:rPr>
        <w:t>农业发展提质增效，乡村振兴扎实推进。</w:t>
      </w:r>
      <w:r>
        <w:rPr>
          <w:rFonts w:hint="default" w:ascii="Times New Roman" w:hAnsi="Times New Roman" w:eastAsia="方正仿宋简体" w:cs="Times New Roman"/>
          <w:spacing w:val="-6"/>
          <w:sz w:val="32"/>
          <w:szCs w:val="32"/>
        </w:rPr>
        <w:t>“十四五”期间，每年粮食种植面积稳定在69.6万亩以上，粮食产量稳定在32.7万吨以上，累计改造提升高标准农田18.6万亩，农作物耕种收综合机械化率达到96.8%，先后获评国家制种（小麦）大县、全国小麦单产提升整建制推进县、全国玉米单产提升整建制推进县、山东省高标准农田整县推进示范县等称号。全区规模以上涉农加工企业发展到53家，市级以上龙头企业36家，注册成立农民合作社702家、家庭农场536家，获评山东省农产品加工业高质量发展先行县，粮油精深加工产业入选省特色优势食品产业集群。改造农村危房341户、农厕2004户、清洁取暖1.4万户，完成265个村生活污水治理。新改建农村公路133.24公里，规划建设乡村振兴片区28个，创成1个省级乡村振兴齐鲁样板示范区、18个市级乡村振兴片区，获评山东省乡村振兴示范县。</w:t>
      </w:r>
    </w:p>
    <w:p w14:paraId="3B4C8493">
      <w:pPr>
        <w:overflowPunct w:val="0"/>
        <w:ind w:firstLine="656"/>
        <w:rPr>
          <w:rFonts w:hint="default" w:ascii="Times New Roman" w:hAnsi="Times New Roman" w:cs="Times New Roman"/>
          <w:szCs w:val="32"/>
        </w:rPr>
      </w:pPr>
      <w:r>
        <w:rPr>
          <w:rFonts w:hint="default" w:ascii="Times New Roman" w:hAnsi="Times New Roman" w:eastAsia="方正楷体简体" w:cs="Times New Roman"/>
          <w:bCs/>
          <w:spacing w:val="4"/>
          <w:szCs w:val="32"/>
        </w:rPr>
        <w:t>改革开放纵深推进，发展活力有效释放。</w:t>
      </w:r>
      <w:r>
        <w:rPr>
          <w:rFonts w:hint="default" w:ascii="Times New Roman" w:hAnsi="Times New Roman" w:eastAsia="方正仿宋简体" w:cs="Times New Roman"/>
          <w:szCs w:val="32"/>
        </w:rPr>
        <w:t>全面完成山东省“点菜单”式改革试点任务，争取省级以上改革试点278项，100项创新经验获国家部委推广，33项国家级“一件事”上线运行，6项工作获省委、省人民政府督查激励。1502项“7+1”类政务服务事项进驻大厅办理，政务服务事项网上可办率达到98%以上，营商环境评价稳居全市首位。经营主体发展到6.62万户，增加2.45万户，新设或增资外资企业49家，实际使用外资4.5亿美元、较“十三五”期间增长53%。兖州国际陆港海关监管中心封关运营，累计完成进出口943亿元、年均增长4%。挂牌中国（济宁）跨境电商综合试验区创新聚集区，易运盈入选“鲁贸全球·山东优品”外贸平台全省唯一服务商。新设境外投资企业13家，累计达到23家，完成对外投资10.8亿美元。</w:t>
      </w:r>
    </w:p>
    <w:p w14:paraId="1167B8C4">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文化“两创”亮点纷呈，文化魅力充分彰显。</w:t>
      </w:r>
      <w:r>
        <w:rPr>
          <w:rFonts w:hint="default" w:ascii="Times New Roman" w:hAnsi="Times New Roman" w:eastAsia="方正仿宋简体" w:cs="Times New Roman"/>
          <w:szCs w:val="32"/>
        </w:rPr>
        <w:t>充分挖掘端信文化、李杜文化等资源，“端信兖州”品牌影响力不断扩大。区、镇、村三级公共文化服务体系实现全覆盖，博物馆获评国家二级馆，各类文化场馆免费开放。创（复）排剧目40余部，创作各类文艺作品300余件（幅）。“兖州人文摄影”、农民文化艺术节、戏曲大拜年等本地文化品牌持续塑强，累计组织“送戏下乡”、基层文体活动8000余场，获评山东省民间文化艺术之乡。实施郑氏庄园、兴隆塔地宫等重点文物修缮工程15项，启动第四次全国文物普查，新发现文物70余处，获评山东省文物大县。重点景区累计接待游客540万人次，旅游收入1.19亿元。</w:t>
      </w:r>
    </w:p>
    <w:p w14:paraId="2BA836C8">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绿色转型坚定有力，生态环境日益改善。</w:t>
      </w:r>
      <w:r>
        <w:rPr>
          <w:rFonts w:hint="default" w:ascii="Times New Roman" w:hAnsi="Times New Roman" w:eastAsia="方正仿宋简体" w:cs="Times New Roman"/>
          <w:szCs w:val="32"/>
        </w:rPr>
        <w:t>“十四五”期间，全区35蒸吨及以下燃煤锅炉全部“清零”，单位GDP能耗累计下降22.2%，超额完成目标任务。时代绿能一期250MW、二期首批67.2MW光伏发电项目和100MW/200MWh独立储能项目顺利并网，新能源装机并网容量达到76.9万千瓦，较2020年增长400%，占总装机容量比重达到65.2%。兖州工业园区获评国家级绿色工业园区、循环经济国家级标准化试点，15家企业入选国家级、省级绿色工厂、绿色供应链管理企业。建成充电桩1359个、充电站123座，实现镇级充电站全覆盖。建成口袋公园32处、绿地27处，建成区绿化覆盖率达到38.5%。空气质量综合指数、PM2.5分别改善21%、23.5%，国省控断面优良水体比例、重点建设用地安全利用率保持100%，获评国家生态文明建设示范区、全国自然资源节约集约示范县，新增造林绿化4160亩、人工湿地534亩，治理采煤塌陷地2.69万亩，获评山东省水资源集约节约示范县。</w:t>
      </w:r>
    </w:p>
    <w:p w14:paraId="0BF14603">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民生福祉不断增进，社会事业稳步提升。</w:t>
      </w:r>
      <w:r>
        <w:rPr>
          <w:rFonts w:hint="default" w:ascii="Times New Roman" w:hAnsi="Times New Roman" w:eastAsia="方正仿宋简体" w:cs="Times New Roman"/>
          <w:szCs w:val="32"/>
        </w:rPr>
        <w:t>财政民生支出占比稳定在80%以上，发放创业贷款6.2亿元，开发城乡公益性岗位8351个，带动城镇新增就业2.2万人。全体居民人均可支配收入达到48641元、年均增长6.2%。先后4次提高城乡低保，特困供养等9类救助保障标准，发放救助补助5.4亿元，“三人三扶三到位”民生服务模式入选全国农村公共服务典型案例。优化整合农村小规模学校31所，新建改扩建中小学、幼儿园20处，新增学位1.14万个，学前教育普惠率达到95.1%，普通高中录取率达到75.3%，创成全省义务教育教学改革实验区、教育评价改革实验基地、首批科学保教引领区。人民医院创成三级综合医院，组建2家紧密型县域医共体，建成区疾病预防控制中心。建成养老服务设施73处，实现综合养老服务中心全域覆盖，养老床位达到2863张，护理型床位占比达88.9%，入选“五床联动”省级试点，基本养老保险参保率达到96%。备案托育机构58家、新增托位3060个，千人口托位数提升至5.6个，成功创建山东省首批婴幼儿照护服务示范区。</w:t>
      </w:r>
    </w:p>
    <w:p w14:paraId="5A2F06A6">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社会治理精准高效，安全基础全面夯实。</w:t>
      </w:r>
      <w:r>
        <w:rPr>
          <w:rFonts w:hint="default" w:ascii="Times New Roman" w:hAnsi="Times New Roman" w:eastAsia="方正仿宋简体" w:cs="Times New Roman"/>
          <w:szCs w:val="32"/>
        </w:rPr>
        <w:t>坚持和发展新时代“枫桥经验”，探索推行“和为贵”社会治理服务体系，各类矛盾纠纷化解成功率达到97.8%，“12345”政务服务热线回访满意率达到96%，企业诉求“接诉即办”平台解决率保持100%，获评全省信访工作示范县。常态化开展扫黑除恶斗争，圆满完成重大节点维稳安保任务，刑事警情保持全市最低，获评平安山东创建示范活动表现突出县。安全生产形势持续稳定，成功应对1958年以来泗河最大洪峰，获评山东省重大事故隐患专项排查整治行动表现突出县。全区国防动员、退役军人、双拥共建等工作扎实推进，民族宗教、档案史志、地震气象、国家安全、外事侨务、广播电视、东西部协作等工作展现新成效，妇女儿童、老龄、工会、慈善、红十字、残疾人、关心下一代等事业全面进步。</w:t>
      </w:r>
    </w:p>
    <w:p w14:paraId="7654DBAA">
      <w:pPr>
        <w:pStyle w:val="45"/>
        <w:overflowPunct w:val="0"/>
        <w:spacing w:before="312" w:beforeLines="100" w:after="312" w:afterLines="100" w:line="560" w:lineRule="exact"/>
        <w:rPr>
          <w:rFonts w:hint="default" w:ascii="Times New Roman" w:hAnsi="Times New Roman" w:eastAsia="方正黑体简体" w:cs="Times New Roman"/>
        </w:rPr>
      </w:pPr>
      <w:bookmarkStart w:id="5" w:name="_Toc24334"/>
      <w:r>
        <w:rPr>
          <w:rFonts w:hint="default" w:ascii="Times New Roman" w:hAnsi="Times New Roman" w:eastAsia="方正黑体简体" w:cs="Times New Roman"/>
        </w:rPr>
        <w:t>第二章  “十五五”时期面临新机遇和新挑战</w:t>
      </w:r>
      <w:bookmarkEnd w:id="4"/>
      <w:bookmarkEnd w:id="5"/>
    </w:p>
    <w:p w14:paraId="061995B4">
      <w:pPr>
        <w:overflowPunct w:val="0"/>
        <w:ind w:firstLine="64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“十五五”时期，百年未有之大变局全方位深层次加速演进，我国正处于基本实现社会主义现代化夯实基础、全面发力的关键时期，经济社会发展的不确定和难预料因素增多，面临诸多新机遇和新挑战。</w:t>
      </w:r>
    </w:p>
    <w:p w14:paraId="04AC0F03">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面临的新机遇：</w:t>
      </w:r>
      <w:r>
        <w:rPr>
          <w:rFonts w:hint="default" w:ascii="Times New Roman" w:hAnsi="Times New Roman" w:eastAsia="方正仿宋简体" w:cs="Times New Roman"/>
          <w:szCs w:val="32"/>
        </w:rPr>
        <w:t>从国际形势看，大国博弈不断加剧，科技、贸易、军事等各方面的竞争更趋激烈，全球新一轮科技革命和产业变革深入发展，人工智能、量子信息、数字经济、新能源、新材料、生物科技等前沿科技领域将深刻重塑产业形态和经济格局，产业链供应链加速重构，并向多元化、区域化、数字化、绿色化、安全化等方向发展，我国具备主动运筹国际空间、构建新发展格局、扩大高水平对外开放的诸多有利因素。从国内发展看，我国已全面转入高质量发展阶段，经济基础稳、优势多、韧性强、潜能大，长期向好的支撑条件和基本趋势没有变，中国特色社会主义制度优势、超大规模市场优势、完整产业体系优势、丰富人才资源优势更加彰显，持续发展具有多方面优势和条件。从全省发展看，山东省锚定“走在前、挑大梁”，深入实施创新驱动发展战略，聚力打造绿色低碳高质量发展先行区，为我区改造提升传统产业、布局战略性新兴产业提供了重大机遇；“碳达峰碳中和”战略纵深推进，有利于我区发挥产业基础优势，在绿色低碳转型中抢占先机；全省区域协调发展战略持续深化，作为鲁西南重要节点城市，我区将在区域分工协作中获得更大发展空间。从兖州发展实际看，我区产业体系较为完备、交通区位优越、农业基础扎实、文化底蕴深厚，数字化、智能化与产业融合发展潜力巨大；依托园区、产业发展定位，新型城镇化建设质效稳步提升，为城乡融合发展开辟新路径；扩大内需战略深入实施，消费升级趋势显现，有利于进一步释放市场潜力。兖州区完全有条件在新型工业化、农业现代化、服务业高质量发展等领域实现新突破。</w:t>
      </w:r>
    </w:p>
    <w:p w14:paraId="2F837A39">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面临的新挑战：</w:t>
      </w:r>
      <w:r>
        <w:rPr>
          <w:rFonts w:hint="default" w:ascii="Times New Roman" w:hAnsi="Times New Roman" w:eastAsia="方正仿宋简体" w:cs="Times New Roman"/>
          <w:szCs w:val="32"/>
        </w:rPr>
        <w:t>新能源、高端装备等新兴产业尚未形成规模支撑，未来产业前瞻布局不足，出口及外资引入面临新的不稳定性和不确定性。企业自主创新能力不强，高层次人才相对短缺，部分“卡脖子”技术难题需依赖外部合作解决。教育、医疗、养老等优质资源短缺，基础设施和公共服务存在短板弱项，区域发展不平衡等问题需要加快破解。</w:t>
      </w:r>
    </w:p>
    <w:p w14:paraId="096F1424">
      <w:pPr>
        <w:overflowPunct w:val="0"/>
        <w:ind w:firstLine="64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总体上看，“十五五”时期是兖州经济社会发展大有可为的战略机遇期，全区上下必须保持战略定力，增强必胜信心，积极识变应变求变，以历史主动精神克难关、战风险、迎挑战，在服务国家和省市发展大局中找准定位、主动作为，奋力开创新时代社会主义现代化强区建设新局面。</w:t>
      </w:r>
    </w:p>
    <w:p w14:paraId="393308E3">
      <w:pPr>
        <w:overflowPunct w:val="0"/>
        <w:ind w:firstLine="640"/>
        <w:rPr>
          <w:rFonts w:hint="default" w:ascii="Times New Roman" w:hAnsi="Times New Roman" w:eastAsia="方正仿宋简体" w:cs="Times New Roman"/>
          <w:szCs w:val="32"/>
        </w:rPr>
        <w:sectPr>
          <w:pgSz w:w="11906" w:h="16838"/>
          <w:pgMar w:top="2155" w:right="1588" w:bottom="1304" w:left="1588" w:header="1361" w:footer="1418" w:gutter="0"/>
          <w:cols w:space="425" w:num="1"/>
          <w:docGrid w:type="linesAndChars" w:linePitch="312" w:charSpace="0"/>
        </w:sectPr>
      </w:pPr>
    </w:p>
    <w:p w14:paraId="0D8D8CE5">
      <w:pPr>
        <w:pStyle w:val="47"/>
        <w:keepNext w:val="0"/>
        <w:keepLines w:val="0"/>
        <w:overflowPunct w:val="0"/>
        <w:spacing w:line="560" w:lineRule="exact"/>
        <w:rPr>
          <w:rFonts w:hint="default" w:ascii="Times New Roman" w:hAnsi="Times New Roman" w:eastAsia="方正小标宋_GBK" w:cs="Times New Roman"/>
          <w:sz w:val="36"/>
          <w:szCs w:val="36"/>
        </w:rPr>
      </w:pPr>
      <w:bookmarkStart w:id="6" w:name="_Toc15447"/>
    </w:p>
    <w:p w14:paraId="1774B281">
      <w:pPr>
        <w:pStyle w:val="47"/>
        <w:keepNext w:val="0"/>
        <w:keepLines w:val="0"/>
        <w:overflowPunct w:val="0"/>
        <w:spacing w:line="560" w:lineRule="exact"/>
        <w:rPr>
          <w:rFonts w:hint="default" w:ascii="Times New Roman" w:hAnsi="Times New Roman" w:eastAsia="方正小标宋_GBK" w:cs="Times New Roman"/>
          <w:sz w:val="36"/>
          <w:szCs w:val="36"/>
        </w:rPr>
      </w:pPr>
      <w:bookmarkStart w:id="7" w:name="_Toc10819"/>
      <w:r>
        <w:rPr>
          <w:rFonts w:hint="default" w:ascii="Times New Roman" w:hAnsi="Times New Roman" w:eastAsia="方正小标宋_GBK" w:cs="Times New Roman"/>
          <w:sz w:val="36"/>
          <w:szCs w:val="36"/>
        </w:rPr>
        <w:t>第二篇  锚定“新坐标”，擘画兖州发展新蓝图</w:t>
      </w:r>
      <w:bookmarkEnd w:id="6"/>
      <w:bookmarkEnd w:id="7"/>
    </w:p>
    <w:p w14:paraId="06798C47">
      <w:pPr>
        <w:pStyle w:val="45"/>
        <w:overflowPunct w:val="0"/>
        <w:spacing w:before="312" w:beforeLines="100" w:after="312" w:afterLines="100" w:line="560" w:lineRule="exact"/>
        <w:rPr>
          <w:rFonts w:hint="default" w:ascii="Times New Roman" w:hAnsi="Times New Roman" w:eastAsia="方正黑体简体" w:cs="Times New Roman"/>
        </w:rPr>
      </w:pPr>
      <w:bookmarkStart w:id="8" w:name="_Toc26471"/>
      <w:bookmarkStart w:id="9" w:name="_Toc7460"/>
      <w:r>
        <w:rPr>
          <w:rFonts w:hint="default" w:ascii="Times New Roman" w:hAnsi="Times New Roman" w:eastAsia="方正黑体简体" w:cs="Times New Roman"/>
        </w:rPr>
        <w:t>第一章  “十五五”时期经济社会发展指导思想</w:t>
      </w:r>
      <w:bookmarkEnd w:id="8"/>
      <w:bookmarkEnd w:id="9"/>
    </w:p>
    <w:p w14:paraId="1F9C9155">
      <w:pPr>
        <w:overflowPunct w:val="0"/>
        <w:ind w:firstLine="640"/>
        <w:rPr>
          <w:rFonts w:hint="default" w:ascii="Times New Roman" w:hAnsi="Times New Roman" w:eastAsia="方正仿宋简体" w:cs="Times New Roman"/>
          <w:spacing w:val="6"/>
          <w:sz w:val="32"/>
          <w:szCs w:val="32"/>
        </w:rPr>
      </w:pPr>
      <w:r>
        <w:rPr>
          <w:rFonts w:hint="default" w:ascii="Times New Roman" w:hAnsi="Times New Roman" w:eastAsia="方正仿宋简体" w:cs="Times New Roman"/>
          <w:spacing w:val="6"/>
          <w:sz w:val="32"/>
          <w:szCs w:val="32"/>
        </w:rPr>
        <w:t>坚持马克思列宁主义、毛泽东思想、邓小平理论、“三个代表”重要思想、科学发展观，全面贯彻习近平新时代中国特色社会主义思想，深入贯彻党的二十大和二十届历次全会精神，认真落实习近平总书记视察山东、视察济宁重要讲话、重要指示批示精神，统筹推进“五位一体”总体布局，协调推进“四个全面”战略布局，完整准确全面贯彻新发展理念，主动服务和融入新发展格局，坚持稳中求进工作总基调，坚持以经济建设为中心，以推动高质量发展为主题，以改革创新为根本动力，以满足人民日益增长的美好生活需要为根本目的，以全面从严治党为根本保障，聚焦</w:t>
      </w:r>
      <w:r>
        <w:rPr>
          <w:rFonts w:hint="default" w:ascii="Times New Roman" w:hAnsi="Times New Roman" w:eastAsia="方正黑体简体" w:cs="Times New Roman"/>
          <w:bCs/>
          <w:spacing w:val="6"/>
          <w:sz w:val="32"/>
          <w:szCs w:val="32"/>
        </w:rPr>
        <w:t>全省绿色低碳高质量发展先行示范区建设，</w:t>
      </w:r>
      <w:r>
        <w:rPr>
          <w:rFonts w:hint="default" w:ascii="Times New Roman" w:hAnsi="Times New Roman" w:eastAsia="方正仿宋简体" w:cs="Times New Roman"/>
          <w:spacing w:val="6"/>
          <w:sz w:val="32"/>
          <w:szCs w:val="32"/>
        </w:rPr>
        <w:t>主动融入国家和省市发展大局，加力实施工业经济“头号工程”，加快建设</w:t>
      </w:r>
      <w:r>
        <w:rPr>
          <w:rFonts w:hint="default" w:ascii="Times New Roman" w:hAnsi="Times New Roman" w:eastAsia="方正黑体简体" w:cs="Times New Roman"/>
          <w:bCs/>
          <w:spacing w:val="6"/>
          <w:sz w:val="32"/>
          <w:szCs w:val="32"/>
        </w:rPr>
        <w:t>创新型先进制造业高地、区域性现代物流商贸中心、产城融合发展样板区，</w:t>
      </w:r>
      <w:r>
        <w:rPr>
          <w:rFonts w:hint="default" w:ascii="Times New Roman" w:hAnsi="Times New Roman" w:eastAsia="方正仿宋简体" w:cs="Times New Roman"/>
          <w:spacing w:val="6"/>
          <w:sz w:val="32"/>
          <w:szCs w:val="32"/>
        </w:rPr>
        <w:t>推动经济实现质的有效提升和量的合理增长，推动人的全面发展、全体人民共同富裕迈出坚实步伐，确保基本建成新时代社会主义现代化强区取得决定性进展。</w:t>
      </w:r>
    </w:p>
    <w:p w14:paraId="10434648">
      <w:pPr>
        <w:pStyle w:val="45"/>
        <w:overflowPunct w:val="0"/>
        <w:spacing w:before="312" w:beforeLines="100" w:after="312" w:afterLines="100" w:line="560" w:lineRule="exact"/>
        <w:rPr>
          <w:rFonts w:hint="default" w:ascii="Times New Roman" w:hAnsi="Times New Roman" w:eastAsia="方正黑体简体" w:cs="Times New Roman"/>
        </w:rPr>
      </w:pPr>
      <w:bookmarkStart w:id="10" w:name="_Toc2083"/>
      <w:bookmarkStart w:id="11" w:name="_Toc30222"/>
      <w:r>
        <w:rPr>
          <w:rFonts w:hint="default" w:ascii="Times New Roman" w:hAnsi="Times New Roman" w:eastAsia="方正黑体简体" w:cs="Times New Roman"/>
        </w:rPr>
        <w:t>第二章  “十五五”时期经济社会发展基本原则</w:t>
      </w:r>
      <w:bookmarkEnd w:id="10"/>
      <w:bookmarkEnd w:id="11"/>
    </w:p>
    <w:p w14:paraId="45AACE5C">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——坚持党的全面领导。</w:t>
      </w:r>
      <w:r>
        <w:rPr>
          <w:rFonts w:hint="default" w:ascii="Times New Roman" w:hAnsi="Times New Roman" w:eastAsia="方正仿宋简体" w:cs="Times New Roman"/>
          <w:szCs w:val="32"/>
        </w:rPr>
        <w:t>坚决维护党中央权威和集中统一领导，提高党把方向、谋大局、定政策、促改革能力，把党的领导贯穿经济社会发展各方面全过程，为实现高质量发展提供根本保证。</w:t>
      </w:r>
    </w:p>
    <w:p w14:paraId="3955CD31">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——坚持人民至上。</w:t>
      </w:r>
      <w:r>
        <w:rPr>
          <w:rFonts w:hint="default" w:ascii="Times New Roman" w:hAnsi="Times New Roman" w:eastAsia="方正仿宋简体" w:cs="Times New Roman"/>
          <w:szCs w:val="32"/>
        </w:rPr>
        <w:t>尊重人民主体地位，紧紧依靠人民，维护人民根本利益，促进社会公平正义，坚持共同富裕方向，做到发展为了人民、发展依靠人民、发展成果由人民共享，让现代化建设成果更多更公平惠及全区人民。</w:t>
      </w:r>
    </w:p>
    <w:p w14:paraId="7A81AE00">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——坚持高质量发展。</w:t>
      </w:r>
      <w:r>
        <w:rPr>
          <w:rFonts w:hint="default" w:ascii="Times New Roman" w:hAnsi="Times New Roman" w:eastAsia="方正仿宋简体" w:cs="Times New Roman"/>
          <w:szCs w:val="32"/>
        </w:rPr>
        <w:t>以新发展理念引领发展，坚定不移推动绿色低碳高质量发展，因地制宜发展新质生产力，促进经济结构优化升级，做优增量、盘活存量，推动经济持续健康发展和社会全面进步。</w:t>
      </w:r>
    </w:p>
    <w:p w14:paraId="5C8CCBA4">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——坚持全面深化改革。</w:t>
      </w:r>
      <w:r>
        <w:rPr>
          <w:rFonts w:hint="default" w:ascii="Times New Roman" w:hAnsi="Times New Roman" w:eastAsia="方正仿宋简体" w:cs="Times New Roman"/>
          <w:szCs w:val="32"/>
        </w:rPr>
        <w:t>聚焦制约高质量发展的体制机制障碍，推进深层次改革，扩大高水平开放，服务和融入全国统一大市场，提高资源配置效能，持续增强发展动力和社会活力。</w:t>
      </w:r>
    </w:p>
    <w:p w14:paraId="6B1D7140">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——坚持有效市场和有为政府相结合。</w:t>
      </w:r>
      <w:r>
        <w:rPr>
          <w:rFonts w:hint="default" w:ascii="Times New Roman" w:hAnsi="Times New Roman" w:eastAsia="方正仿宋简体" w:cs="Times New Roman"/>
          <w:szCs w:val="32"/>
        </w:rPr>
        <w:t>充分发挥市场在资源配置中的决定性作用，更好发挥政府作用，打造市场化、法治化、国际化一流营商环境，构建统一、开放、竞争、有序的市场体系。</w:t>
      </w:r>
    </w:p>
    <w:p w14:paraId="2CA6A7EC">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——坚持统筹发展和安全。</w:t>
      </w:r>
      <w:r>
        <w:rPr>
          <w:rFonts w:hint="default" w:ascii="Times New Roman" w:hAnsi="Times New Roman" w:eastAsia="方正仿宋简体" w:cs="Times New Roman"/>
          <w:szCs w:val="32"/>
        </w:rPr>
        <w:t>贯彻落实总体国家安全观和国家安全战略，在发展中固安全，在安全中谋发展，强化底线思维，有效防范化解各类风险，增强经济和社会韧性，以新安全格局保障新发展格局。</w:t>
      </w:r>
    </w:p>
    <w:p w14:paraId="520BDBD9">
      <w:pPr>
        <w:pStyle w:val="45"/>
        <w:overflowPunct w:val="0"/>
        <w:spacing w:before="312" w:beforeLines="100" w:after="312" w:afterLines="100" w:line="560" w:lineRule="exact"/>
        <w:rPr>
          <w:rFonts w:hint="default" w:ascii="Times New Roman" w:hAnsi="Times New Roman" w:eastAsia="方正黑体简体" w:cs="Times New Roman"/>
        </w:rPr>
      </w:pPr>
      <w:bookmarkStart w:id="12" w:name="_Toc4040"/>
      <w:bookmarkStart w:id="13" w:name="_Toc16420"/>
      <w:r>
        <w:rPr>
          <w:rFonts w:hint="default" w:ascii="Times New Roman" w:hAnsi="Times New Roman" w:eastAsia="方正黑体简体" w:cs="Times New Roman"/>
        </w:rPr>
        <w:t>第三章  “十五五”时期经济社会发展总体定位</w:t>
      </w:r>
      <w:bookmarkEnd w:id="12"/>
      <w:bookmarkEnd w:id="13"/>
    </w:p>
    <w:p w14:paraId="27ECB93C">
      <w:pPr>
        <w:overflowPunct w:val="0"/>
        <w:ind w:firstLine="64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全面融入国家、省区域协调发展格局，全方位融入济宁主城区；坚持工业经济“头号工程”、制造强区“首位战略”，发挥工业强区、交通枢纽等有利因素，持续做好产业链升级，加快重大项目布局建设，强化关键核心技术攻关，培育壮大特色优势产业集群；全面提升城乡融合发展水平，引领全区经济社会高质量发展。</w:t>
      </w:r>
    </w:p>
    <w:p w14:paraId="32EFA74D">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——全省绿色低碳高质量发展先行示范区。</w:t>
      </w:r>
      <w:r>
        <w:rPr>
          <w:rFonts w:hint="default" w:ascii="Times New Roman" w:hAnsi="Times New Roman" w:eastAsia="方正仿宋简体" w:cs="Times New Roman"/>
          <w:szCs w:val="32"/>
        </w:rPr>
        <w:t>构建绿色制造体系，深入推进全省绿色低碳高质量发展先行区综合性区域试点建设，大力发展可再生能源，构建清洁低碳、安全高效的能源体系，争创国家级零碳园区、零碳工厂，新动能成为引领经济发展主引擎，绿色低碳高质量发展走在全省前列。</w:t>
      </w:r>
    </w:p>
    <w:p w14:paraId="4F144244">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——创新型先进制造业高地。</w:t>
      </w:r>
      <w:r>
        <w:rPr>
          <w:rFonts w:hint="default" w:ascii="Times New Roman" w:hAnsi="Times New Roman" w:eastAsia="方正仿宋简体" w:cs="Times New Roman"/>
          <w:szCs w:val="32"/>
        </w:rPr>
        <w:t>聚力发展优势产业，锚定打造新能源、造纸包装、橡胶化工3个千亿级产业集群，高端装备、现代食品2个二百亿级产业集群和生物医药百亿级产业集群目标，推动产业创新与科技创新、制造业与生产性服务业、数字经济与实体经济“三个深度融合”，实现优势主导产业提质增效、战略性新兴产业集聚壮大、未来产业前瞻布局，建设具有影响力的创新型先进制造业高地。</w:t>
      </w:r>
    </w:p>
    <w:p w14:paraId="54EEE39E">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——区域性现代物流商贸中心。</w:t>
      </w:r>
      <w:r>
        <w:rPr>
          <w:rFonts w:hint="default" w:ascii="Times New Roman" w:hAnsi="Times New Roman" w:eastAsia="方正仿宋简体" w:cs="Times New Roman"/>
          <w:szCs w:val="32"/>
        </w:rPr>
        <w:t>立足内联外畅、四通八达的立体交通网络优势，积极引育现代化、智慧型物流与商贸企业，强化“千亩连片”现代物流产业基地建设，大力发展大宗商品贸易、跨境电商、供应链服务等业态，推动“物流通道”向“商贸枢纽”转型升级，建设辐射鲁西南、链接国内外的区域型综合性物流商贸中心。</w:t>
      </w:r>
    </w:p>
    <w:p w14:paraId="3BFE8292">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——产城融合发展样板区。</w:t>
      </w:r>
      <w:r>
        <w:rPr>
          <w:rFonts w:hint="default" w:ascii="Times New Roman" w:hAnsi="Times New Roman" w:eastAsia="方正仿宋简体" w:cs="Times New Roman"/>
          <w:szCs w:val="32"/>
        </w:rPr>
        <w:t>坚持“以产促城、以城兴产”，优化“两轴”城市空间布局，增强产业人口承载力和吸引力；统筹推进“两带”生态廊道建设，打造高品质宜居宜业城市；协同推动农业全链条升级与和美乡村建设，促进城乡要素双向流动与功能互补，形成产业、城市与乡村共生共荣的一体化发展新格局。</w:t>
      </w:r>
    </w:p>
    <w:p w14:paraId="3046C8D3">
      <w:pPr>
        <w:pStyle w:val="45"/>
        <w:overflowPunct w:val="0"/>
        <w:spacing w:before="312" w:beforeLines="100" w:after="312" w:afterLines="100" w:line="560" w:lineRule="exact"/>
        <w:rPr>
          <w:rFonts w:hint="default" w:ascii="Times New Roman" w:hAnsi="Times New Roman" w:eastAsia="方正黑体简体" w:cs="Times New Roman"/>
        </w:rPr>
      </w:pPr>
      <w:bookmarkStart w:id="14" w:name="_Toc20965"/>
      <w:bookmarkStart w:id="15" w:name="_Toc8562"/>
      <w:r>
        <w:rPr>
          <w:rFonts w:hint="default" w:ascii="Times New Roman" w:hAnsi="Times New Roman" w:eastAsia="方正黑体简体" w:cs="Times New Roman"/>
        </w:rPr>
        <w:t>第四章  “十五五”时期经济社会发展主要目标</w:t>
      </w:r>
      <w:bookmarkEnd w:id="14"/>
      <w:bookmarkEnd w:id="15"/>
    </w:p>
    <w:p w14:paraId="0AA99F74">
      <w:pPr>
        <w:overflowPunct w:val="0"/>
        <w:ind w:firstLine="64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经过五年不懈奋斗，加快迈向千亿城市，全区绿色低碳高质量发展取得新成效，经济发展、科技创新、改革开放、城乡融合、生态环境、民生事业等重点领域取得新突破，新型工业化、信息化、城镇化、农业现代化取得重大进展。</w:t>
      </w:r>
    </w:p>
    <w:p w14:paraId="02E79901">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——经济发展水平实现新跃升。</w:t>
      </w:r>
      <w:r>
        <w:rPr>
          <w:rFonts w:hint="default" w:ascii="Times New Roman" w:hAnsi="Times New Roman" w:eastAsia="方正仿宋简体" w:cs="Times New Roman"/>
          <w:szCs w:val="32"/>
        </w:rPr>
        <w:t>经济增长保持在合理区间，现代化产业体系全面构建，保持在全省的县域经济高质量发展先行优势，经济综合实力和竞争力迈上新台阶。力争实现工业经济总量、规上工业企业数量、高新技术企业数量、生产性服务业规模、外贸进出口总额“五个倍增”。全区地区生产总值年均增长5.5-6%，制造业增加值占地区生产总值比重达到39%以上，一般公共预算收入达到3%左右。</w:t>
      </w:r>
    </w:p>
    <w:p w14:paraId="5F6AA57F">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——科技创新能力实现新跃升。</w:t>
      </w:r>
      <w:r>
        <w:rPr>
          <w:rFonts w:hint="default" w:ascii="Times New Roman" w:hAnsi="Times New Roman" w:eastAsia="方正仿宋简体" w:cs="Times New Roman"/>
          <w:szCs w:val="32"/>
        </w:rPr>
        <w:t>科教产融合深入推进，人才集聚优势加速形成，科技支撑产业升级与新质生产力培育的能力进一步增强，全社会研发经费投入增长9.5%；攻克一批产业链关键核心技术与“卡脖子”难题，每万人口高价值发明专利拥有量达到9.5件。高能级创新平台建设提质增效，创新型企业梯次培育体系持续完善。创新生态进一步优化，形成以企业为主体、市场为导向、产学研深度融合的科技创新体系。</w:t>
      </w:r>
    </w:p>
    <w:p w14:paraId="424067EC">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——改革开放活力实现新跃升。</w:t>
      </w:r>
      <w:r>
        <w:rPr>
          <w:rFonts w:hint="default" w:ascii="Times New Roman" w:hAnsi="Times New Roman" w:eastAsia="方正仿宋简体" w:cs="Times New Roman"/>
          <w:szCs w:val="32"/>
        </w:rPr>
        <w:t>积极服务和融入全国统一大市场，重点领域和关键环节改革取得重大进展。现代化综合交通体系和现代流通体系日益完善，打造区域性现代物流商贸中心。高水平对外开放新格局加速形成，贸易进出口稳步增长，外贸总额突破400亿元。外资结构进一步优化，跨境电商等外贸新业态快速发展，“十五五”期间累计到位外资4.5亿美元，形成内外联动、双向互济、高效安全的高水平开放格局。</w:t>
      </w:r>
    </w:p>
    <w:p w14:paraId="6AD87526">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——城乡融合发展实现新跃升。</w:t>
      </w:r>
      <w:r>
        <w:rPr>
          <w:rFonts w:hint="default" w:ascii="Times New Roman" w:hAnsi="Times New Roman" w:eastAsia="方正仿宋简体" w:cs="Times New Roman"/>
          <w:spacing w:val="-6"/>
          <w:sz w:val="32"/>
          <w:szCs w:val="32"/>
        </w:rPr>
        <w:t>高品质城市和新型城镇化建设统筹推进，中心城区空间布局进一步优化，基本公共服务均等化水平明显提升。实现村集体经济稳步增长，城乡产业互补互促，城乡居民收入差距进一步缩小，常住人口城镇化率提升至85%以上，构建生态宜居、共同繁荣的城乡融合发展新格局。</w:t>
      </w:r>
    </w:p>
    <w:p w14:paraId="50B8587F">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——生态环境质量实现新跃升。</w:t>
      </w:r>
      <w:r>
        <w:rPr>
          <w:rFonts w:hint="default" w:ascii="Times New Roman" w:hAnsi="Times New Roman" w:eastAsia="方正仿宋简体" w:cs="Times New Roman"/>
          <w:szCs w:val="32"/>
        </w:rPr>
        <w:t>清洁低碳安全高效的新型能源体系初步建立，生态优先、节约优先、绿色低碳发展观念深入人心。污染防治攻坚战持续深入，污染源头防控与生态修复工程加快实施，细颗粒物浓度、空气优良天数比例全面完成上级下达任务，国省控断面优良水体比例保持100%，生态环境保护结构性、根源性、趋势性压力得到有效缓解，确保碳达峰目标如期实现。</w:t>
      </w:r>
    </w:p>
    <w:p w14:paraId="6209074D">
      <w:pPr>
        <w:overflowPunct w:val="0"/>
        <w:ind w:firstLine="656"/>
        <w:rPr>
          <w:rFonts w:hint="default" w:ascii="Times New Roman" w:hAnsi="Times New Roman" w:eastAsia="方正仿宋简体" w:cs="Times New Roman"/>
          <w:szCs w:val="32"/>
        </w:rPr>
      </w:pPr>
      <w:r>
        <w:rPr>
          <w:rFonts w:hint="default" w:ascii="Times New Roman" w:hAnsi="Times New Roman" w:eastAsia="方正楷体简体" w:cs="Times New Roman"/>
          <w:bCs/>
          <w:spacing w:val="4"/>
          <w:szCs w:val="32"/>
        </w:rPr>
        <w:t>——民生保障水平实现新跃升。</w:t>
      </w:r>
      <w:r>
        <w:rPr>
          <w:rFonts w:hint="default" w:ascii="Times New Roman" w:hAnsi="Times New Roman" w:eastAsia="方正仿宋简体" w:cs="Times New Roman"/>
          <w:szCs w:val="32"/>
        </w:rPr>
        <w:t>高质量充分就业取得新进展，教育、医疗、养老、托育等基本公共服务均等化水平明显提升，居民收入增长和经济增长基本同步。“十五五”期间新增城镇就业2万人以上，社会保障制度更加完善，社会治理体系更加完备，社会主义民主法治更加完善，重点领域风险有效防范化解，人民群众的获得感、幸福感、安全感切实增强。</w:t>
      </w:r>
    </w:p>
    <w:p w14:paraId="5F12411E">
      <w:pPr>
        <w:overflowPunct w:val="0"/>
        <w:ind w:firstLine="64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在此基础上再奋斗五年，到二〇三五年，实现经济实力、科技创新水平、综合竞争力大幅跃升，人均地区生产总值达到中等发达经济体水平，人民生活更加幸福美好，基本建成新时代社会主义现代化强区。</w:t>
      </w:r>
    </w:p>
    <w:p w14:paraId="20009F95">
      <w:pPr>
        <w:overflowPunct w:val="0"/>
        <w:ind w:firstLine="640"/>
        <w:rPr>
          <w:rFonts w:hint="default" w:ascii="Times New Roman" w:hAnsi="Times New Roman" w:eastAsia="方正黑体简体" w:cs="Times New Roman"/>
          <w:bCs/>
        </w:rPr>
      </w:pPr>
      <w:r>
        <w:rPr>
          <w:rFonts w:hint="default" w:ascii="Times New Roman" w:hAnsi="Times New Roman" w:eastAsia="方正黑体简体" w:cs="Times New Roman"/>
          <w:bCs/>
        </w:rPr>
        <w:br w:type="page"/>
      </w:r>
    </w:p>
    <w:p w14:paraId="008273CB">
      <w:pPr>
        <w:overflowPunct w:val="0"/>
        <w:spacing w:line="420" w:lineRule="exact"/>
        <w:ind w:firstLine="0" w:firstLineChars="0"/>
        <w:jc w:val="center"/>
        <w:rPr>
          <w:rFonts w:hint="default" w:ascii="Times New Roman" w:hAnsi="Times New Roman" w:eastAsia="方正黑体简体" w:cs="Times New Roman"/>
          <w:bCs/>
        </w:rPr>
      </w:pPr>
      <w:r>
        <w:rPr>
          <w:rFonts w:hint="default" w:ascii="Times New Roman" w:hAnsi="Times New Roman" w:eastAsia="方正黑体简体" w:cs="Times New Roman"/>
          <w:bCs/>
        </w:rPr>
        <w:t>“十五五”时期经济社会发展主要指标表</w:t>
      </w:r>
    </w:p>
    <w:p w14:paraId="7B6B8ED4">
      <w:pPr>
        <w:overflowPunct w:val="0"/>
        <w:spacing w:line="420" w:lineRule="exact"/>
        <w:ind w:firstLine="0" w:firstLineChars="0"/>
        <w:jc w:val="center"/>
        <w:rPr>
          <w:rFonts w:hint="default" w:ascii="Times New Roman" w:hAnsi="Times New Roman" w:eastAsia="方正黑体简体" w:cs="Times New Roman"/>
          <w:bCs/>
        </w:rPr>
      </w:pPr>
    </w:p>
    <w:tbl>
      <w:tblPr>
        <w:tblStyle w:val="26"/>
        <w:tblW w:w="525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1" w:type="dxa"/>
          <w:bottom w:w="0" w:type="dxa"/>
          <w:right w:w="11" w:type="dxa"/>
        </w:tblCellMar>
      </w:tblPr>
      <w:tblGrid>
        <w:gridCol w:w="1821"/>
        <w:gridCol w:w="2720"/>
        <w:gridCol w:w="973"/>
        <w:gridCol w:w="853"/>
        <w:gridCol w:w="1826"/>
        <w:gridCol w:w="1021"/>
      </w:tblGrid>
      <w:tr w14:paraId="14983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71451469">
            <w:pPr>
              <w:overflowPunct w:val="0"/>
              <w:spacing w:line="0" w:lineRule="atLeast"/>
              <w:ind w:firstLine="0" w:firstLineChars="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指标</w:t>
            </w:r>
          </w:p>
        </w:tc>
        <w:tc>
          <w:tcPr>
            <w:tcW w:w="528" w:type="pct"/>
            <w:vAlign w:val="center"/>
          </w:tcPr>
          <w:p w14:paraId="309BA50F">
            <w:pPr>
              <w:overflowPunct w:val="0"/>
              <w:spacing w:line="0" w:lineRule="atLeast"/>
              <w:ind w:firstLine="0" w:firstLineChars="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2025年</w:t>
            </w:r>
          </w:p>
        </w:tc>
        <w:tc>
          <w:tcPr>
            <w:tcW w:w="463" w:type="pct"/>
            <w:vAlign w:val="center"/>
          </w:tcPr>
          <w:p w14:paraId="5CD18D8B">
            <w:pPr>
              <w:overflowPunct w:val="0"/>
              <w:spacing w:line="0" w:lineRule="atLeast"/>
              <w:ind w:firstLine="0" w:firstLineChars="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2030年</w:t>
            </w:r>
          </w:p>
        </w:tc>
        <w:tc>
          <w:tcPr>
            <w:tcW w:w="991" w:type="pct"/>
            <w:vAlign w:val="center"/>
          </w:tcPr>
          <w:p w14:paraId="6318D621">
            <w:pPr>
              <w:overflowPunct w:val="0"/>
              <w:spacing w:line="0" w:lineRule="atLeast"/>
              <w:ind w:firstLine="0" w:firstLineChars="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pacing w:val="-11"/>
                <w:sz w:val="24"/>
              </w:rPr>
              <w:t>年均/累计</w:t>
            </w:r>
          </w:p>
        </w:tc>
        <w:tc>
          <w:tcPr>
            <w:tcW w:w="551" w:type="pct"/>
            <w:vAlign w:val="center"/>
          </w:tcPr>
          <w:p w14:paraId="51C1F95B">
            <w:pPr>
              <w:overflowPunct w:val="0"/>
              <w:spacing w:line="0" w:lineRule="atLeast"/>
              <w:ind w:firstLine="0" w:firstLineChars="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属性</w:t>
            </w:r>
          </w:p>
        </w:tc>
      </w:tr>
      <w:tr w14:paraId="4335C9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5000" w:type="pct"/>
            <w:gridSpan w:val="6"/>
            <w:vAlign w:val="center"/>
          </w:tcPr>
          <w:p w14:paraId="1A582E00">
            <w:pPr>
              <w:overflowPunct w:val="0"/>
              <w:spacing w:line="0" w:lineRule="atLeast"/>
              <w:ind w:firstLine="0" w:firstLineChars="0"/>
              <w:jc w:val="left"/>
              <w:rPr>
                <w:rFonts w:hint="default" w:ascii="Times New Roman" w:hAnsi="Times New Roman" w:eastAsia="黑体" w:cs="Times New Roman"/>
                <w:b/>
                <w:color w:val="000000"/>
                <w:kern w:val="0"/>
                <w:sz w:val="24"/>
                <w:lang w:bidi="ar"/>
              </w:rPr>
            </w:pPr>
            <w:r>
              <w:rPr>
                <w:rFonts w:hint="default" w:ascii="Times New Roman" w:hAnsi="Times New Roman" w:eastAsia="方正黑体简体" w:cs="Times New Roman"/>
                <w:b/>
                <w:color w:val="000000"/>
                <w:sz w:val="24"/>
              </w:rPr>
              <w:t>经济发展</w:t>
            </w:r>
          </w:p>
        </w:tc>
      </w:tr>
      <w:tr w14:paraId="58BE5F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6FAE610A">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1.地区生产总值（GDP）增长（%）</w:t>
            </w:r>
          </w:p>
        </w:tc>
        <w:tc>
          <w:tcPr>
            <w:tcW w:w="528" w:type="pct"/>
            <w:vAlign w:val="center"/>
          </w:tcPr>
          <w:p w14:paraId="5B44465F">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6.3</w:t>
            </w:r>
          </w:p>
        </w:tc>
        <w:tc>
          <w:tcPr>
            <w:tcW w:w="463" w:type="pct"/>
            <w:shd w:val="clear" w:color="auto" w:fill="auto"/>
            <w:vAlign w:val="center"/>
          </w:tcPr>
          <w:p w14:paraId="64E85433">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w:t>
            </w:r>
          </w:p>
        </w:tc>
        <w:tc>
          <w:tcPr>
            <w:tcW w:w="991" w:type="pct"/>
            <w:vAlign w:val="center"/>
          </w:tcPr>
          <w:p w14:paraId="7976A901">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5.5-6</w:t>
            </w:r>
          </w:p>
        </w:tc>
        <w:tc>
          <w:tcPr>
            <w:tcW w:w="551" w:type="pct"/>
            <w:vAlign w:val="center"/>
          </w:tcPr>
          <w:p w14:paraId="554D29B7">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44C4DE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4F54F030">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2.全员劳动生产率增长（%）</w:t>
            </w:r>
          </w:p>
        </w:tc>
        <w:tc>
          <w:tcPr>
            <w:tcW w:w="528" w:type="pct"/>
            <w:vAlign w:val="center"/>
          </w:tcPr>
          <w:p w14:paraId="123D646F">
            <w:pPr>
              <w:overflowPunct w:val="0"/>
              <w:spacing w:line="0" w:lineRule="atLeast"/>
              <w:ind w:firstLine="120" w:firstLineChars="5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w:t>
            </w:r>
          </w:p>
        </w:tc>
        <w:tc>
          <w:tcPr>
            <w:tcW w:w="463" w:type="pct"/>
            <w:shd w:val="clear" w:color="auto" w:fill="auto"/>
            <w:vAlign w:val="center"/>
          </w:tcPr>
          <w:p w14:paraId="153F8968">
            <w:pPr>
              <w:overflowPunct w:val="0"/>
              <w:spacing w:line="0" w:lineRule="atLeast"/>
              <w:ind w:firstLine="120" w:firstLineChars="5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w:t>
            </w:r>
          </w:p>
        </w:tc>
        <w:tc>
          <w:tcPr>
            <w:tcW w:w="991" w:type="pct"/>
            <w:shd w:val="clear" w:color="auto" w:fill="auto"/>
            <w:vAlign w:val="center"/>
          </w:tcPr>
          <w:p w14:paraId="4A71F393">
            <w:pPr>
              <w:overflowPunct w:val="0"/>
              <w:spacing w:line="0" w:lineRule="atLeast"/>
              <w:ind w:firstLine="120" w:firstLineChars="5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sz w:val="24"/>
              </w:rPr>
              <w:t>高于GDP增长</w:t>
            </w:r>
          </w:p>
        </w:tc>
        <w:tc>
          <w:tcPr>
            <w:tcW w:w="551" w:type="pct"/>
            <w:vAlign w:val="center"/>
          </w:tcPr>
          <w:p w14:paraId="15AE979A">
            <w:pPr>
              <w:overflowPunct w:val="0"/>
              <w:spacing w:line="0" w:lineRule="atLeast"/>
              <w:ind w:firstLine="0" w:firstLineChars="0"/>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bCs/>
                <w:color w:val="000000"/>
                <w:sz w:val="24"/>
              </w:rPr>
              <w:t>预期性</w:t>
            </w:r>
          </w:p>
        </w:tc>
      </w:tr>
      <w:tr w14:paraId="7692B8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7B95AB74">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3.常住人口城镇化率（%）</w:t>
            </w:r>
          </w:p>
        </w:tc>
        <w:tc>
          <w:tcPr>
            <w:tcW w:w="528" w:type="pct"/>
            <w:vAlign w:val="center"/>
          </w:tcPr>
          <w:p w14:paraId="2DDBF727">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82.81</w:t>
            </w:r>
          </w:p>
        </w:tc>
        <w:tc>
          <w:tcPr>
            <w:tcW w:w="463" w:type="pct"/>
            <w:shd w:val="clear" w:color="auto" w:fill="auto"/>
            <w:vAlign w:val="center"/>
          </w:tcPr>
          <w:p w14:paraId="5CE11D16">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85左右</w:t>
            </w:r>
          </w:p>
        </w:tc>
        <w:tc>
          <w:tcPr>
            <w:tcW w:w="991" w:type="pct"/>
            <w:vAlign w:val="center"/>
          </w:tcPr>
          <w:p w14:paraId="2BE36928">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w:t>
            </w:r>
          </w:p>
        </w:tc>
        <w:tc>
          <w:tcPr>
            <w:tcW w:w="551" w:type="pct"/>
            <w:vAlign w:val="center"/>
          </w:tcPr>
          <w:p w14:paraId="789A925C">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297CE3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63041A1E">
            <w:pPr>
              <w:numPr>
                <w:ilvl w:val="0"/>
                <w:numId w:val="1"/>
              </w:num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制造业增加值占地区生产总值（GDP）</w:t>
            </w:r>
          </w:p>
          <w:p w14:paraId="721C6BBD">
            <w:pPr>
              <w:overflowPunct w:val="0"/>
              <w:spacing w:line="0" w:lineRule="atLeast"/>
              <w:ind w:left="160" w:leftChars="50" w:firstLine="240" w:firstLineChars="10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比重（%）</w:t>
            </w:r>
          </w:p>
        </w:tc>
        <w:tc>
          <w:tcPr>
            <w:tcW w:w="528" w:type="pct"/>
            <w:vAlign w:val="center"/>
          </w:tcPr>
          <w:p w14:paraId="276F085D">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34</w:t>
            </w:r>
          </w:p>
        </w:tc>
        <w:tc>
          <w:tcPr>
            <w:tcW w:w="463" w:type="pct"/>
            <w:shd w:val="clear" w:color="auto" w:fill="auto"/>
            <w:vAlign w:val="center"/>
          </w:tcPr>
          <w:p w14:paraId="041789F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vAlign w:val="center"/>
          </w:tcPr>
          <w:p w14:paraId="325105F4">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实现稳步增长</w:t>
            </w:r>
          </w:p>
        </w:tc>
        <w:tc>
          <w:tcPr>
            <w:tcW w:w="551" w:type="pct"/>
            <w:vAlign w:val="center"/>
          </w:tcPr>
          <w:p w14:paraId="1E8F28F9">
            <w:pPr>
              <w:overflowPunct w:val="0"/>
              <w:spacing w:line="0" w:lineRule="atLeast"/>
              <w:ind w:firstLine="0" w:firstLineChars="0"/>
              <w:jc w:val="center"/>
              <w:rPr>
                <w:rFonts w:hint="default" w:ascii="Times New Roman" w:hAnsi="Times New Roman" w:eastAsia="方正仿宋简体" w:cs="Times New Roman"/>
                <w:color w:val="000000"/>
                <w:kern w:val="0"/>
                <w:sz w:val="24"/>
                <w:lang w:bidi="ar"/>
              </w:rPr>
            </w:pPr>
            <w:r>
              <w:rPr>
                <w:rFonts w:hint="default" w:ascii="Times New Roman" w:hAnsi="Times New Roman" w:eastAsia="方正仿宋简体" w:cs="Times New Roman"/>
                <w:bCs/>
                <w:color w:val="000000"/>
                <w:sz w:val="24"/>
              </w:rPr>
              <w:t>预期性</w:t>
            </w:r>
          </w:p>
        </w:tc>
      </w:tr>
      <w:tr w14:paraId="02EC4D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67254BD4">
            <w:p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5.国内旅游收入（亿元）</w:t>
            </w:r>
          </w:p>
        </w:tc>
        <w:tc>
          <w:tcPr>
            <w:tcW w:w="528" w:type="pct"/>
            <w:vAlign w:val="center"/>
          </w:tcPr>
          <w:p w14:paraId="65218479">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64.5</w:t>
            </w:r>
          </w:p>
        </w:tc>
        <w:tc>
          <w:tcPr>
            <w:tcW w:w="463" w:type="pct"/>
            <w:shd w:val="clear" w:color="auto" w:fill="auto"/>
            <w:vAlign w:val="center"/>
          </w:tcPr>
          <w:p w14:paraId="71CE9F50">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76</w:t>
            </w:r>
          </w:p>
        </w:tc>
        <w:tc>
          <w:tcPr>
            <w:tcW w:w="991" w:type="pct"/>
            <w:vAlign w:val="center"/>
          </w:tcPr>
          <w:p w14:paraId="75B60070">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Align w:val="center"/>
          </w:tcPr>
          <w:p w14:paraId="5F2EFA42">
            <w:pPr>
              <w:overflowPunct w:val="0"/>
              <w:spacing w:line="0" w:lineRule="atLeast"/>
              <w:ind w:firstLine="0" w:firstLineChars="0"/>
              <w:jc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bCs/>
                <w:color w:val="000000"/>
                <w:sz w:val="24"/>
              </w:rPr>
              <w:t>预期性</w:t>
            </w:r>
          </w:p>
        </w:tc>
      </w:tr>
      <w:tr w14:paraId="4FF1E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5000" w:type="pct"/>
            <w:gridSpan w:val="6"/>
            <w:vAlign w:val="center"/>
          </w:tcPr>
          <w:p w14:paraId="6BAF96A0">
            <w:pPr>
              <w:overflowPunct w:val="0"/>
              <w:spacing w:line="0" w:lineRule="atLeast"/>
              <w:ind w:firstLine="0" w:firstLineChars="0"/>
              <w:jc w:val="left"/>
              <w:rPr>
                <w:rFonts w:hint="default" w:ascii="Times New Roman" w:hAnsi="Times New Roman" w:eastAsia="方正仿宋简体" w:cs="Times New Roman"/>
                <w:bCs/>
                <w:sz w:val="24"/>
              </w:rPr>
            </w:pPr>
            <w:r>
              <w:rPr>
                <w:rFonts w:hint="default" w:ascii="Times New Roman" w:hAnsi="Times New Roman" w:eastAsia="方正黑体简体" w:cs="Times New Roman"/>
                <w:b/>
                <w:color w:val="000000"/>
                <w:sz w:val="24"/>
              </w:rPr>
              <w:t>创新驱动</w:t>
            </w:r>
          </w:p>
        </w:tc>
      </w:tr>
      <w:tr w14:paraId="27AAB0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4F82E1E1">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6.全社会研发经费投入增长（%）</w:t>
            </w:r>
          </w:p>
        </w:tc>
        <w:tc>
          <w:tcPr>
            <w:tcW w:w="528" w:type="pct"/>
            <w:vAlign w:val="center"/>
          </w:tcPr>
          <w:p w14:paraId="612DDABE">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9.9</w:t>
            </w:r>
          </w:p>
        </w:tc>
        <w:tc>
          <w:tcPr>
            <w:tcW w:w="463" w:type="pct"/>
            <w:vAlign w:val="center"/>
          </w:tcPr>
          <w:p w14:paraId="11326352">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vAlign w:val="center"/>
          </w:tcPr>
          <w:p w14:paraId="30EA2088">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9.5</w:t>
            </w:r>
          </w:p>
        </w:tc>
        <w:tc>
          <w:tcPr>
            <w:tcW w:w="551" w:type="pct"/>
            <w:vAlign w:val="center"/>
          </w:tcPr>
          <w:p w14:paraId="5072C84E">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0CA001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35AA1072">
            <w:p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7.每万人有效发明专利拥有量（件）</w:t>
            </w:r>
          </w:p>
        </w:tc>
        <w:tc>
          <w:tcPr>
            <w:tcW w:w="528" w:type="pct"/>
            <w:vAlign w:val="center"/>
          </w:tcPr>
          <w:p w14:paraId="6098CD6F">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17.04</w:t>
            </w:r>
          </w:p>
        </w:tc>
        <w:tc>
          <w:tcPr>
            <w:tcW w:w="463" w:type="pct"/>
            <w:vAlign w:val="center"/>
          </w:tcPr>
          <w:p w14:paraId="348C3249">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21</w:t>
            </w:r>
          </w:p>
        </w:tc>
        <w:tc>
          <w:tcPr>
            <w:tcW w:w="991" w:type="pct"/>
            <w:vAlign w:val="center"/>
          </w:tcPr>
          <w:p w14:paraId="57AE816B">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Align w:val="center"/>
          </w:tcPr>
          <w:p w14:paraId="7D985B6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color w:val="000000"/>
                <w:sz w:val="24"/>
              </w:rPr>
              <w:t>预期性</w:t>
            </w:r>
          </w:p>
        </w:tc>
      </w:tr>
      <w:tr w14:paraId="52B197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4FB31C51">
            <w:pPr>
              <w:overflowPunct w:val="0"/>
              <w:spacing w:line="0" w:lineRule="atLeast"/>
              <w:ind w:right="209"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8.数</w:t>
            </w:r>
            <w:r>
              <w:rPr>
                <w:rFonts w:hint="default" w:ascii="Times New Roman" w:hAnsi="Times New Roman" w:eastAsia="方正仿宋简体" w:cs="Times New Roman"/>
                <w:color w:val="000000"/>
                <w:spacing w:val="-11"/>
                <w:sz w:val="24"/>
              </w:rPr>
              <w:t>字经济核心产业增加值占GDP比重（%）</w:t>
            </w:r>
          </w:p>
        </w:tc>
        <w:tc>
          <w:tcPr>
            <w:tcW w:w="528" w:type="pct"/>
            <w:vAlign w:val="center"/>
          </w:tcPr>
          <w:p w14:paraId="2D5F7B95">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6</w:t>
            </w:r>
          </w:p>
        </w:tc>
        <w:tc>
          <w:tcPr>
            <w:tcW w:w="463" w:type="pct"/>
            <w:vAlign w:val="center"/>
          </w:tcPr>
          <w:p w14:paraId="7A4D4278">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8</w:t>
            </w:r>
          </w:p>
        </w:tc>
        <w:tc>
          <w:tcPr>
            <w:tcW w:w="991" w:type="pct"/>
            <w:vAlign w:val="center"/>
          </w:tcPr>
          <w:p w14:paraId="5A670C46">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Align w:val="center"/>
          </w:tcPr>
          <w:p w14:paraId="08C1E91F">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2BAF76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5000" w:type="pct"/>
            <w:gridSpan w:val="6"/>
            <w:vAlign w:val="center"/>
          </w:tcPr>
          <w:p w14:paraId="00544FDC">
            <w:pPr>
              <w:overflowPunct w:val="0"/>
              <w:spacing w:line="0" w:lineRule="atLeast"/>
              <w:ind w:firstLine="0" w:firstLineChars="0"/>
              <w:jc w:val="left"/>
              <w:rPr>
                <w:rFonts w:hint="default" w:ascii="Times New Roman" w:hAnsi="Times New Roman" w:eastAsia="方正仿宋简体" w:cs="Times New Roman"/>
                <w:kern w:val="0"/>
                <w:sz w:val="24"/>
                <w:lang w:bidi="ar"/>
              </w:rPr>
            </w:pPr>
            <w:r>
              <w:rPr>
                <w:rFonts w:hint="default" w:ascii="Times New Roman" w:hAnsi="Times New Roman" w:eastAsia="方正黑体简体" w:cs="Times New Roman"/>
                <w:b/>
                <w:color w:val="000000"/>
                <w:sz w:val="24"/>
              </w:rPr>
              <w:t>民生福祉</w:t>
            </w:r>
          </w:p>
        </w:tc>
      </w:tr>
      <w:tr w14:paraId="088EB4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47BCB1AA">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9.城镇新增就业人数（万人）</w:t>
            </w:r>
          </w:p>
        </w:tc>
        <w:tc>
          <w:tcPr>
            <w:tcW w:w="528" w:type="pct"/>
            <w:vAlign w:val="center"/>
          </w:tcPr>
          <w:p w14:paraId="492179CF">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0.45</w:t>
            </w:r>
          </w:p>
        </w:tc>
        <w:tc>
          <w:tcPr>
            <w:tcW w:w="463" w:type="pct"/>
            <w:vAlign w:val="center"/>
          </w:tcPr>
          <w:p w14:paraId="4AC6C641">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vAlign w:val="center"/>
          </w:tcPr>
          <w:p w14:paraId="7B7608A1">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[ 2 ]</w:t>
            </w:r>
          </w:p>
        </w:tc>
        <w:tc>
          <w:tcPr>
            <w:tcW w:w="551" w:type="pct"/>
            <w:vAlign w:val="center"/>
          </w:tcPr>
          <w:p w14:paraId="6BC27210">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6AE9D8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3908E1C7">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10.居民人均可支配收入增长（%）</w:t>
            </w:r>
          </w:p>
        </w:tc>
        <w:tc>
          <w:tcPr>
            <w:tcW w:w="528" w:type="pct"/>
            <w:vAlign w:val="center"/>
          </w:tcPr>
          <w:p w14:paraId="68CB5433">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5.3</w:t>
            </w:r>
          </w:p>
        </w:tc>
        <w:tc>
          <w:tcPr>
            <w:tcW w:w="463" w:type="pct"/>
            <w:vAlign w:val="center"/>
          </w:tcPr>
          <w:p w14:paraId="7E76378B">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vAlign w:val="center"/>
          </w:tcPr>
          <w:p w14:paraId="0BFFCB44">
            <w:pPr>
              <w:overflowPunct w:val="0"/>
              <w:spacing w:line="0" w:lineRule="atLeast"/>
              <w:ind w:firstLine="120" w:firstLineChars="5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与经济增长同步</w:t>
            </w:r>
          </w:p>
        </w:tc>
        <w:tc>
          <w:tcPr>
            <w:tcW w:w="551" w:type="pct"/>
            <w:vAlign w:val="center"/>
          </w:tcPr>
          <w:p w14:paraId="28439E5D">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69F27A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6370174F">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11.劳动年龄人口平均受教育年限（年）</w:t>
            </w:r>
          </w:p>
        </w:tc>
        <w:tc>
          <w:tcPr>
            <w:tcW w:w="528" w:type="pct"/>
            <w:vAlign w:val="center"/>
          </w:tcPr>
          <w:p w14:paraId="4A73D66E">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463" w:type="pct"/>
            <w:vAlign w:val="center"/>
          </w:tcPr>
          <w:p w14:paraId="0AFC9B8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vAlign w:val="center"/>
          </w:tcPr>
          <w:p w14:paraId="457690A0">
            <w:pPr>
              <w:overflowPunct w:val="0"/>
              <w:spacing w:line="0" w:lineRule="atLeast"/>
              <w:ind w:firstLine="120" w:firstLineChars="5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完成市分解任务</w:t>
            </w:r>
          </w:p>
        </w:tc>
        <w:tc>
          <w:tcPr>
            <w:tcW w:w="551" w:type="pct"/>
            <w:vAlign w:val="center"/>
          </w:tcPr>
          <w:p w14:paraId="1565E690">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约束性</w:t>
            </w:r>
          </w:p>
        </w:tc>
      </w:tr>
      <w:tr w14:paraId="61EC9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71" w:hRule="atLeast"/>
          <w:jc w:val="center"/>
        </w:trPr>
        <w:tc>
          <w:tcPr>
            <w:tcW w:w="988" w:type="pct"/>
            <w:vMerge w:val="restart"/>
            <w:vAlign w:val="center"/>
          </w:tcPr>
          <w:p w14:paraId="39F81FEF">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12.每千人口拥有医护人员数：</w:t>
            </w:r>
          </w:p>
        </w:tc>
        <w:tc>
          <w:tcPr>
            <w:tcW w:w="1476" w:type="pct"/>
            <w:vAlign w:val="center"/>
          </w:tcPr>
          <w:p w14:paraId="13873464">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（1）执业医师数（人）</w:t>
            </w:r>
          </w:p>
        </w:tc>
        <w:tc>
          <w:tcPr>
            <w:tcW w:w="528" w:type="pct"/>
            <w:shd w:val="clear" w:color="auto" w:fill="auto"/>
            <w:vAlign w:val="center"/>
          </w:tcPr>
          <w:p w14:paraId="23155E2A">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4.16</w:t>
            </w:r>
          </w:p>
        </w:tc>
        <w:tc>
          <w:tcPr>
            <w:tcW w:w="463" w:type="pct"/>
            <w:shd w:val="clear" w:color="auto" w:fill="auto"/>
            <w:vAlign w:val="center"/>
          </w:tcPr>
          <w:p w14:paraId="2D871498">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4.4</w:t>
            </w:r>
          </w:p>
        </w:tc>
        <w:tc>
          <w:tcPr>
            <w:tcW w:w="991" w:type="pct"/>
            <w:shd w:val="clear" w:color="auto" w:fill="auto"/>
            <w:vAlign w:val="center"/>
          </w:tcPr>
          <w:p w14:paraId="3C687E3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Merge w:val="restart"/>
            <w:vAlign w:val="center"/>
          </w:tcPr>
          <w:p w14:paraId="5F4631D8">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2E5700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988" w:type="pct"/>
            <w:vMerge w:val="continue"/>
            <w:vAlign w:val="center"/>
          </w:tcPr>
          <w:p w14:paraId="10656252">
            <w:pPr>
              <w:overflowPunct w:val="0"/>
              <w:spacing w:line="0" w:lineRule="atLeast"/>
              <w:ind w:firstLine="120" w:firstLineChars="50"/>
              <w:rPr>
                <w:rFonts w:hint="default" w:ascii="Times New Roman" w:hAnsi="Times New Roman" w:eastAsia="方正仿宋简体" w:cs="Times New Roman"/>
                <w:color w:val="000000"/>
                <w:sz w:val="24"/>
              </w:rPr>
            </w:pPr>
          </w:p>
        </w:tc>
        <w:tc>
          <w:tcPr>
            <w:tcW w:w="1476" w:type="pct"/>
            <w:vAlign w:val="center"/>
          </w:tcPr>
          <w:p w14:paraId="12E93D16">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（2）注册护士数（人）</w:t>
            </w:r>
          </w:p>
        </w:tc>
        <w:tc>
          <w:tcPr>
            <w:tcW w:w="528" w:type="pct"/>
            <w:shd w:val="clear" w:color="auto" w:fill="auto"/>
            <w:vAlign w:val="center"/>
          </w:tcPr>
          <w:p w14:paraId="0DD5F386">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4.53</w:t>
            </w:r>
          </w:p>
        </w:tc>
        <w:tc>
          <w:tcPr>
            <w:tcW w:w="463" w:type="pct"/>
            <w:shd w:val="clear" w:color="auto" w:fill="auto"/>
            <w:vAlign w:val="center"/>
          </w:tcPr>
          <w:p w14:paraId="2131227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4.7</w:t>
            </w:r>
          </w:p>
        </w:tc>
        <w:tc>
          <w:tcPr>
            <w:tcW w:w="991" w:type="pct"/>
            <w:shd w:val="clear" w:color="auto" w:fill="auto"/>
            <w:vAlign w:val="center"/>
          </w:tcPr>
          <w:p w14:paraId="441F1891">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Merge w:val="continue"/>
            <w:vAlign w:val="center"/>
          </w:tcPr>
          <w:p w14:paraId="69C4E1C3">
            <w:pPr>
              <w:overflowPunct w:val="0"/>
              <w:spacing w:line="0" w:lineRule="atLeast"/>
              <w:ind w:firstLine="0" w:firstLineChars="0"/>
              <w:jc w:val="center"/>
              <w:rPr>
                <w:rFonts w:hint="default" w:ascii="Times New Roman" w:hAnsi="Times New Roman" w:eastAsia="方正仿宋简体" w:cs="Times New Roman"/>
                <w:bCs/>
                <w:color w:val="000000"/>
                <w:sz w:val="24"/>
              </w:rPr>
            </w:pPr>
          </w:p>
        </w:tc>
      </w:tr>
      <w:tr w14:paraId="1C49AF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14027A37">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13.养老机构护理型床位占比（%）</w:t>
            </w:r>
          </w:p>
        </w:tc>
        <w:tc>
          <w:tcPr>
            <w:tcW w:w="528" w:type="pct"/>
            <w:shd w:val="clear" w:color="auto" w:fill="auto"/>
            <w:vAlign w:val="center"/>
          </w:tcPr>
          <w:p w14:paraId="2B86DB00">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88.9</w:t>
            </w:r>
          </w:p>
        </w:tc>
        <w:tc>
          <w:tcPr>
            <w:tcW w:w="463" w:type="pct"/>
            <w:shd w:val="clear" w:color="auto" w:fill="auto"/>
            <w:vAlign w:val="center"/>
          </w:tcPr>
          <w:p w14:paraId="7BEBFC8A">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90</w:t>
            </w:r>
          </w:p>
        </w:tc>
        <w:tc>
          <w:tcPr>
            <w:tcW w:w="991" w:type="pct"/>
            <w:shd w:val="clear" w:color="auto" w:fill="auto"/>
            <w:vAlign w:val="center"/>
          </w:tcPr>
          <w:p w14:paraId="5CDB673D">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Align w:val="center"/>
          </w:tcPr>
          <w:p w14:paraId="61F0A9CD">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708C38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37B8B82A">
            <w:pPr>
              <w:numPr>
                <w:ilvl w:val="0"/>
                <w:numId w:val="2"/>
              </w:num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3岁以下婴幼儿入托率提高（%）</w:t>
            </w:r>
          </w:p>
        </w:tc>
        <w:tc>
          <w:tcPr>
            <w:tcW w:w="528" w:type="pct"/>
            <w:shd w:val="clear" w:color="auto" w:fill="auto"/>
            <w:vAlign w:val="center"/>
          </w:tcPr>
          <w:p w14:paraId="0CE9B469">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12</w:t>
            </w:r>
          </w:p>
        </w:tc>
        <w:tc>
          <w:tcPr>
            <w:tcW w:w="463" w:type="pct"/>
            <w:shd w:val="clear" w:color="auto" w:fill="auto"/>
            <w:vAlign w:val="center"/>
          </w:tcPr>
          <w:p w14:paraId="69FEAB10">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20</w:t>
            </w:r>
          </w:p>
        </w:tc>
        <w:tc>
          <w:tcPr>
            <w:tcW w:w="991" w:type="pct"/>
            <w:shd w:val="clear" w:color="auto" w:fill="auto"/>
            <w:vAlign w:val="center"/>
          </w:tcPr>
          <w:p w14:paraId="52335B4F">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pacing w:val="-6"/>
                <w:sz w:val="24"/>
              </w:rPr>
              <w:t>[ 8 ]</w:t>
            </w:r>
          </w:p>
        </w:tc>
        <w:tc>
          <w:tcPr>
            <w:tcW w:w="551" w:type="pct"/>
            <w:vAlign w:val="center"/>
          </w:tcPr>
          <w:p w14:paraId="712054A7">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5E730E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5D9E9DFC">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15.人均预期寿命（岁）</w:t>
            </w:r>
          </w:p>
        </w:tc>
        <w:tc>
          <w:tcPr>
            <w:tcW w:w="528" w:type="pct"/>
            <w:vAlign w:val="center"/>
          </w:tcPr>
          <w:p w14:paraId="40052C9E">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81.3</w:t>
            </w:r>
          </w:p>
        </w:tc>
        <w:tc>
          <w:tcPr>
            <w:tcW w:w="463" w:type="pct"/>
            <w:vAlign w:val="center"/>
          </w:tcPr>
          <w:p w14:paraId="604849B5">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81.8</w:t>
            </w:r>
          </w:p>
        </w:tc>
        <w:tc>
          <w:tcPr>
            <w:tcW w:w="991" w:type="pct"/>
            <w:vAlign w:val="center"/>
          </w:tcPr>
          <w:p w14:paraId="5006CAA7">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Align w:val="center"/>
          </w:tcPr>
          <w:p w14:paraId="6EAD72A5">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预期性</w:t>
            </w:r>
          </w:p>
        </w:tc>
      </w:tr>
      <w:tr w14:paraId="7222E2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5000" w:type="pct"/>
            <w:gridSpan w:val="6"/>
            <w:shd w:val="clear" w:color="auto" w:fill="auto"/>
            <w:vAlign w:val="center"/>
          </w:tcPr>
          <w:p w14:paraId="7B13F7FA">
            <w:pPr>
              <w:overflowPunct w:val="0"/>
              <w:spacing w:line="0" w:lineRule="atLeast"/>
              <w:ind w:firstLine="0" w:firstLineChars="0"/>
              <w:jc w:val="left"/>
              <w:rPr>
                <w:rFonts w:hint="default" w:ascii="Times New Roman" w:hAnsi="Times New Roman" w:eastAsia="方正仿宋简体" w:cs="Times New Roman"/>
                <w:kern w:val="0"/>
                <w:sz w:val="24"/>
                <w:lang w:bidi="ar"/>
              </w:rPr>
            </w:pPr>
            <w:r>
              <w:rPr>
                <w:rFonts w:hint="default" w:ascii="Times New Roman" w:hAnsi="Times New Roman" w:eastAsia="方正黑体简体" w:cs="Times New Roman"/>
                <w:b/>
                <w:color w:val="000000"/>
                <w:sz w:val="24"/>
              </w:rPr>
              <w:t>绿色生态</w:t>
            </w:r>
          </w:p>
        </w:tc>
      </w:tr>
      <w:tr w14:paraId="7C987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shd w:val="clear" w:color="auto" w:fill="auto"/>
            <w:vAlign w:val="center"/>
          </w:tcPr>
          <w:p w14:paraId="6C8064EF">
            <w:pPr>
              <w:overflowPunct w:val="0"/>
              <w:spacing w:line="0" w:lineRule="atLeast"/>
              <w:ind w:firstLine="120" w:firstLineChars="50"/>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16.单位GDP二氧化碳排放降低（%）</w:t>
            </w:r>
          </w:p>
        </w:tc>
        <w:tc>
          <w:tcPr>
            <w:tcW w:w="528" w:type="pct"/>
            <w:shd w:val="clear" w:color="auto" w:fill="auto"/>
            <w:vAlign w:val="center"/>
          </w:tcPr>
          <w:p w14:paraId="549EE94D">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463" w:type="pct"/>
            <w:shd w:val="clear" w:color="auto" w:fill="auto"/>
            <w:vAlign w:val="center"/>
          </w:tcPr>
          <w:p w14:paraId="11DF8C0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shd w:val="clear" w:color="auto" w:fill="auto"/>
            <w:vAlign w:val="center"/>
          </w:tcPr>
          <w:p w14:paraId="365B2F64">
            <w:pPr>
              <w:overflowPunct w:val="0"/>
              <w:spacing w:line="0" w:lineRule="atLeast"/>
              <w:ind w:firstLine="120" w:firstLineChars="5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完成市分解任务</w:t>
            </w:r>
          </w:p>
        </w:tc>
        <w:tc>
          <w:tcPr>
            <w:tcW w:w="551" w:type="pct"/>
            <w:shd w:val="clear" w:color="auto" w:fill="auto"/>
            <w:vAlign w:val="center"/>
          </w:tcPr>
          <w:p w14:paraId="7C3D7028">
            <w:pPr>
              <w:overflowPunct w:val="0"/>
              <w:spacing w:line="0" w:lineRule="atLeast"/>
              <w:ind w:firstLine="0" w:firstLineChars="0"/>
              <w:jc w:val="center"/>
              <w:rPr>
                <w:rFonts w:hint="default" w:ascii="Times New Roman" w:hAnsi="Times New Roman" w:eastAsia="方正仿宋简体" w:cs="Times New Roman"/>
                <w:bCs/>
                <w:color w:val="000000"/>
                <w:sz w:val="24"/>
              </w:rPr>
            </w:pPr>
            <w:r>
              <w:rPr>
                <w:rFonts w:hint="default" w:ascii="Times New Roman" w:hAnsi="Times New Roman" w:eastAsia="方正仿宋简体" w:cs="Times New Roman"/>
                <w:bCs/>
                <w:color w:val="000000"/>
                <w:sz w:val="24"/>
              </w:rPr>
              <w:t>约束性</w:t>
            </w:r>
          </w:p>
        </w:tc>
      </w:tr>
      <w:tr w14:paraId="0D6DA8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shd w:val="clear" w:color="auto" w:fill="auto"/>
            <w:vAlign w:val="center"/>
          </w:tcPr>
          <w:p w14:paraId="280AB155">
            <w:p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17.非化石能源占能源消费总量比重（%）</w:t>
            </w:r>
          </w:p>
        </w:tc>
        <w:tc>
          <w:tcPr>
            <w:tcW w:w="528" w:type="pct"/>
            <w:shd w:val="clear" w:color="auto" w:fill="auto"/>
            <w:vAlign w:val="center"/>
          </w:tcPr>
          <w:p w14:paraId="5F0B0616">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10.43</w:t>
            </w:r>
          </w:p>
        </w:tc>
        <w:tc>
          <w:tcPr>
            <w:tcW w:w="463" w:type="pct"/>
            <w:shd w:val="clear" w:color="auto" w:fill="auto"/>
            <w:vAlign w:val="center"/>
          </w:tcPr>
          <w:p w14:paraId="00A8C8BA">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12</w:t>
            </w:r>
          </w:p>
        </w:tc>
        <w:tc>
          <w:tcPr>
            <w:tcW w:w="991" w:type="pct"/>
            <w:shd w:val="clear" w:color="auto" w:fill="auto"/>
            <w:vAlign w:val="center"/>
          </w:tcPr>
          <w:p w14:paraId="5568AC01">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shd w:val="clear" w:color="auto" w:fill="auto"/>
            <w:vAlign w:val="center"/>
          </w:tcPr>
          <w:p w14:paraId="47292678">
            <w:pPr>
              <w:overflowPunct w:val="0"/>
              <w:spacing w:line="0" w:lineRule="atLeast"/>
              <w:ind w:firstLine="0" w:firstLineChars="0"/>
              <w:jc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bCs/>
                <w:color w:val="000000"/>
                <w:sz w:val="24"/>
              </w:rPr>
              <w:t>约束性</w:t>
            </w:r>
          </w:p>
        </w:tc>
      </w:tr>
      <w:tr w14:paraId="047092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shd w:val="clear" w:color="auto" w:fill="auto"/>
            <w:vAlign w:val="center"/>
          </w:tcPr>
          <w:p w14:paraId="33B034D3">
            <w:p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18. 细颗粒物（PM</w:t>
            </w:r>
            <w:r>
              <w:rPr>
                <w:rFonts w:hint="default" w:ascii="Times New Roman" w:hAnsi="Times New Roman" w:eastAsia="方正仿宋简体" w:cs="Times New Roman"/>
                <w:sz w:val="24"/>
                <w:vertAlign w:val="subscript"/>
              </w:rPr>
              <w:t>2.5</w:t>
            </w:r>
            <w:r>
              <w:rPr>
                <w:rFonts w:hint="default" w:ascii="Times New Roman" w:hAnsi="Times New Roman" w:eastAsia="方正仿宋简体" w:cs="Times New Roman"/>
                <w:sz w:val="24"/>
              </w:rPr>
              <w:t>）浓度（微克/立方米）</w:t>
            </w:r>
          </w:p>
        </w:tc>
        <w:tc>
          <w:tcPr>
            <w:tcW w:w="528" w:type="pct"/>
            <w:shd w:val="clear" w:color="auto" w:fill="auto"/>
            <w:vAlign w:val="center"/>
          </w:tcPr>
          <w:p w14:paraId="2EFDB4D0">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39</w:t>
            </w:r>
          </w:p>
        </w:tc>
        <w:tc>
          <w:tcPr>
            <w:tcW w:w="463" w:type="pct"/>
            <w:shd w:val="clear" w:color="auto" w:fill="auto"/>
            <w:vAlign w:val="center"/>
          </w:tcPr>
          <w:p w14:paraId="30B100C4">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shd w:val="clear" w:color="auto" w:fill="auto"/>
            <w:vAlign w:val="center"/>
          </w:tcPr>
          <w:p w14:paraId="30224561">
            <w:pPr>
              <w:overflowPunct w:val="0"/>
              <w:spacing w:line="0" w:lineRule="atLeast"/>
              <w:ind w:firstLine="120" w:firstLineChars="5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完成市分解任务</w:t>
            </w:r>
          </w:p>
        </w:tc>
        <w:tc>
          <w:tcPr>
            <w:tcW w:w="551" w:type="pct"/>
            <w:shd w:val="clear" w:color="auto" w:fill="auto"/>
            <w:vAlign w:val="center"/>
          </w:tcPr>
          <w:p w14:paraId="326E6CBB">
            <w:pPr>
              <w:overflowPunct w:val="0"/>
              <w:spacing w:line="0" w:lineRule="atLeast"/>
              <w:ind w:firstLine="0" w:firstLineChars="0"/>
              <w:jc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bCs/>
                <w:color w:val="000000"/>
                <w:sz w:val="24"/>
              </w:rPr>
              <w:t>约束性</w:t>
            </w:r>
          </w:p>
        </w:tc>
      </w:tr>
      <w:tr w14:paraId="0734AF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shd w:val="clear" w:color="auto" w:fill="auto"/>
            <w:vAlign w:val="center"/>
          </w:tcPr>
          <w:p w14:paraId="14123DB8">
            <w:pPr>
              <w:numPr>
                <w:ilvl w:val="0"/>
                <w:numId w:val="3"/>
              </w:num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优良水体比例（%）</w:t>
            </w:r>
          </w:p>
        </w:tc>
        <w:tc>
          <w:tcPr>
            <w:tcW w:w="528" w:type="pct"/>
            <w:shd w:val="clear" w:color="auto" w:fill="auto"/>
            <w:vAlign w:val="center"/>
          </w:tcPr>
          <w:p w14:paraId="546AA33A">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100</w:t>
            </w:r>
          </w:p>
        </w:tc>
        <w:tc>
          <w:tcPr>
            <w:tcW w:w="463" w:type="pct"/>
            <w:shd w:val="clear" w:color="auto" w:fill="auto"/>
            <w:vAlign w:val="center"/>
          </w:tcPr>
          <w:p w14:paraId="510ADCDC">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shd w:val="clear" w:color="auto" w:fill="auto"/>
            <w:vAlign w:val="center"/>
          </w:tcPr>
          <w:p w14:paraId="7D7680E3">
            <w:pPr>
              <w:overflowPunct w:val="0"/>
              <w:spacing w:line="0" w:lineRule="atLeast"/>
              <w:ind w:firstLine="120" w:firstLineChars="5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完成市分解任务</w:t>
            </w:r>
          </w:p>
        </w:tc>
        <w:tc>
          <w:tcPr>
            <w:tcW w:w="551" w:type="pct"/>
            <w:shd w:val="clear" w:color="auto" w:fill="auto"/>
            <w:vAlign w:val="center"/>
          </w:tcPr>
          <w:p w14:paraId="3B3115CB">
            <w:pPr>
              <w:overflowPunct w:val="0"/>
              <w:spacing w:line="0" w:lineRule="atLeast"/>
              <w:ind w:firstLine="0" w:firstLineChars="0"/>
              <w:jc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bCs/>
                <w:color w:val="000000"/>
                <w:sz w:val="24"/>
              </w:rPr>
              <w:t>约束性</w:t>
            </w:r>
          </w:p>
        </w:tc>
      </w:tr>
      <w:tr w14:paraId="042F6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shd w:val="clear" w:color="auto" w:fill="auto"/>
            <w:vAlign w:val="center"/>
          </w:tcPr>
          <w:p w14:paraId="70DED08B">
            <w:pPr>
              <w:numPr>
                <w:ilvl w:val="0"/>
                <w:numId w:val="3"/>
              </w:num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森林覆盖率（%）</w:t>
            </w:r>
          </w:p>
        </w:tc>
        <w:tc>
          <w:tcPr>
            <w:tcW w:w="528" w:type="pct"/>
            <w:shd w:val="clear" w:color="auto" w:fill="auto"/>
            <w:vAlign w:val="center"/>
          </w:tcPr>
          <w:p w14:paraId="770B14B7">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463" w:type="pct"/>
            <w:shd w:val="clear" w:color="auto" w:fill="auto"/>
            <w:vAlign w:val="center"/>
          </w:tcPr>
          <w:p w14:paraId="3A0BF9F7">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991" w:type="pct"/>
            <w:shd w:val="clear" w:color="auto" w:fill="auto"/>
            <w:vAlign w:val="center"/>
          </w:tcPr>
          <w:p w14:paraId="7E90660C">
            <w:pPr>
              <w:overflowPunct w:val="0"/>
              <w:spacing w:line="0" w:lineRule="atLeast"/>
              <w:ind w:firstLine="120" w:firstLineChars="5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完成市分解任务</w:t>
            </w:r>
          </w:p>
        </w:tc>
        <w:tc>
          <w:tcPr>
            <w:tcW w:w="551" w:type="pct"/>
            <w:shd w:val="clear" w:color="auto" w:fill="auto"/>
            <w:vAlign w:val="center"/>
          </w:tcPr>
          <w:p w14:paraId="690510AB">
            <w:pPr>
              <w:overflowPunct w:val="0"/>
              <w:spacing w:line="0" w:lineRule="atLeast"/>
              <w:ind w:firstLine="0" w:firstLineChars="0"/>
              <w:jc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bCs/>
                <w:color w:val="000000"/>
                <w:sz w:val="24"/>
              </w:rPr>
              <w:t>约束性</w:t>
            </w:r>
          </w:p>
        </w:tc>
      </w:tr>
      <w:tr w14:paraId="31E4FA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5000" w:type="pct"/>
            <w:gridSpan w:val="6"/>
            <w:vAlign w:val="center"/>
          </w:tcPr>
          <w:p w14:paraId="6AF6BD0A">
            <w:pPr>
              <w:overflowPunct w:val="0"/>
              <w:spacing w:line="0" w:lineRule="atLeast"/>
              <w:ind w:firstLine="0" w:firstLineChars="0"/>
              <w:jc w:val="left"/>
              <w:rPr>
                <w:rFonts w:hint="default" w:ascii="Times New Roman" w:hAnsi="Times New Roman" w:eastAsia="方正仿宋简体" w:cs="Times New Roman"/>
                <w:kern w:val="0"/>
                <w:sz w:val="24"/>
                <w:lang w:bidi="ar"/>
              </w:rPr>
            </w:pPr>
            <w:r>
              <w:rPr>
                <w:rFonts w:hint="default" w:ascii="Times New Roman" w:hAnsi="Times New Roman" w:eastAsia="方正黑体简体" w:cs="Times New Roman"/>
                <w:b/>
                <w:color w:val="000000"/>
                <w:sz w:val="24"/>
              </w:rPr>
              <w:t>安全保障</w:t>
            </w:r>
          </w:p>
        </w:tc>
      </w:tr>
      <w:tr w14:paraId="5438FD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32223466">
            <w:pPr>
              <w:numPr>
                <w:ilvl w:val="0"/>
                <w:numId w:val="3"/>
              </w:num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粮食综合生产能力（万吨）</w:t>
            </w:r>
          </w:p>
        </w:tc>
        <w:tc>
          <w:tcPr>
            <w:tcW w:w="528" w:type="pct"/>
            <w:vAlign w:val="center"/>
          </w:tcPr>
          <w:p w14:paraId="5BF1FE63">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34</w:t>
            </w:r>
          </w:p>
        </w:tc>
        <w:tc>
          <w:tcPr>
            <w:tcW w:w="463" w:type="pct"/>
            <w:vAlign w:val="center"/>
          </w:tcPr>
          <w:p w14:paraId="60BC2E53">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34.4</w:t>
            </w:r>
          </w:p>
        </w:tc>
        <w:tc>
          <w:tcPr>
            <w:tcW w:w="991" w:type="pct"/>
            <w:vAlign w:val="center"/>
          </w:tcPr>
          <w:p w14:paraId="6C044CBB">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w:t>
            </w:r>
          </w:p>
        </w:tc>
        <w:tc>
          <w:tcPr>
            <w:tcW w:w="551" w:type="pct"/>
            <w:vAlign w:val="center"/>
          </w:tcPr>
          <w:p w14:paraId="72FD8314">
            <w:pPr>
              <w:overflowPunct w:val="0"/>
              <w:spacing w:line="0" w:lineRule="atLeast"/>
              <w:ind w:firstLine="0" w:firstLineChars="0"/>
              <w:jc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bCs/>
                <w:color w:val="000000"/>
                <w:sz w:val="24"/>
              </w:rPr>
              <w:t>约束性</w:t>
            </w:r>
          </w:p>
        </w:tc>
      </w:tr>
      <w:tr w14:paraId="25F18A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1" w:type="dxa"/>
            <w:bottom w:w="0" w:type="dxa"/>
            <w:right w:w="11" w:type="dxa"/>
          </w:tblCellMar>
        </w:tblPrEx>
        <w:trPr>
          <w:trHeight w:val="369" w:hRule="atLeast"/>
          <w:jc w:val="center"/>
        </w:trPr>
        <w:tc>
          <w:tcPr>
            <w:tcW w:w="2464" w:type="pct"/>
            <w:gridSpan w:val="2"/>
            <w:vAlign w:val="center"/>
          </w:tcPr>
          <w:p w14:paraId="03D3FEAB">
            <w:pPr>
              <w:numPr>
                <w:ilvl w:val="0"/>
                <w:numId w:val="3"/>
              </w:numPr>
              <w:overflowPunct w:val="0"/>
              <w:spacing w:line="0" w:lineRule="atLeast"/>
              <w:ind w:firstLine="120" w:firstLineChars="50"/>
              <w:rPr>
                <w:rFonts w:hint="default" w:ascii="Times New Roman" w:hAnsi="Times New Roman" w:eastAsia="方正仿宋简体" w:cs="Times New Roman"/>
                <w:sz w:val="24"/>
              </w:rPr>
            </w:pPr>
            <w:r>
              <w:rPr>
                <w:rFonts w:hint="default" w:ascii="Times New Roman" w:hAnsi="Times New Roman" w:eastAsia="方正仿宋简体" w:cs="Times New Roman"/>
                <w:sz w:val="24"/>
              </w:rPr>
              <w:t>能源综合生产能力（万吨标准煤）</w:t>
            </w:r>
          </w:p>
        </w:tc>
        <w:tc>
          <w:tcPr>
            <w:tcW w:w="528" w:type="pct"/>
            <w:vAlign w:val="center"/>
          </w:tcPr>
          <w:p w14:paraId="4D045DBF">
            <w:pPr>
              <w:overflowPunct w:val="0"/>
              <w:spacing w:line="0" w:lineRule="atLeast"/>
              <w:ind w:firstLine="0" w:firstLineChars="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424</w:t>
            </w:r>
          </w:p>
        </w:tc>
        <w:tc>
          <w:tcPr>
            <w:tcW w:w="463" w:type="pct"/>
            <w:vAlign w:val="center"/>
          </w:tcPr>
          <w:p w14:paraId="6961DE05">
            <w:pPr>
              <w:overflowPunct w:val="0"/>
              <w:spacing w:line="0" w:lineRule="atLeast"/>
              <w:ind w:firstLine="0" w:firstLineChars="0"/>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366</w:t>
            </w:r>
          </w:p>
        </w:tc>
        <w:tc>
          <w:tcPr>
            <w:tcW w:w="991" w:type="pct"/>
            <w:vAlign w:val="center"/>
          </w:tcPr>
          <w:p w14:paraId="7058526F">
            <w:pPr>
              <w:overflowPunct w:val="0"/>
              <w:spacing w:line="0" w:lineRule="atLeast"/>
              <w:ind w:firstLine="0" w:firstLineChars="0"/>
              <w:jc w:val="center"/>
              <w:rPr>
                <w:rFonts w:hint="default" w:ascii="Times New Roman" w:hAnsi="Times New Roman" w:eastAsia="方正仿宋简体" w:cs="Times New Roman"/>
                <w:sz w:val="24"/>
              </w:rPr>
            </w:pPr>
            <w:r>
              <w:rPr>
                <w:rFonts w:hint="default" w:ascii="Times New Roman" w:hAnsi="Times New Roman" w:eastAsia="方正仿宋简体" w:cs="Times New Roman"/>
                <w:bCs/>
                <w:sz w:val="24"/>
              </w:rPr>
              <w:t>—</w:t>
            </w:r>
          </w:p>
        </w:tc>
        <w:tc>
          <w:tcPr>
            <w:tcW w:w="551" w:type="pct"/>
            <w:vAlign w:val="center"/>
          </w:tcPr>
          <w:p w14:paraId="2DAB3242">
            <w:pPr>
              <w:overflowPunct w:val="0"/>
              <w:spacing w:line="0" w:lineRule="atLeast"/>
              <w:ind w:firstLine="0" w:firstLineChars="0"/>
              <w:jc w:val="center"/>
              <w:rPr>
                <w:rFonts w:hint="default" w:ascii="Times New Roman" w:hAnsi="Times New Roman" w:eastAsia="方正仿宋简体" w:cs="Times New Roman"/>
                <w:sz w:val="24"/>
              </w:rPr>
            </w:pPr>
            <w:r>
              <w:rPr>
                <w:rFonts w:hint="default" w:ascii="Times New Roman" w:hAnsi="Times New Roman" w:eastAsia="方正仿宋简体" w:cs="Times New Roman"/>
                <w:bCs/>
                <w:color w:val="000000"/>
                <w:sz w:val="24"/>
              </w:rPr>
              <w:t>约束性</w:t>
            </w:r>
          </w:p>
        </w:tc>
      </w:tr>
    </w:tbl>
    <w:tbl>
      <w:tblPr>
        <w:tblStyle w:val="26"/>
        <w:tblpPr w:leftFromText="180" w:rightFromText="180" w:vertAnchor="text" w:tblpX="11972" w:tblpY="-5120"/>
        <w:tblOverlap w:val="never"/>
        <w:tblW w:w="859" w:type="dxa"/>
        <w:tblInd w:w="0" w:type="dxa"/>
        <w:tblLayout w:type="autofit"/>
        <w:tblCellMar>
          <w:top w:w="0" w:type="dxa"/>
          <w:left w:w="108" w:type="dxa"/>
          <w:bottom w:w="0" w:type="dxa"/>
          <w:right w:w="108" w:type="dxa"/>
        </w:tblCellMar>
      </w:tblPr>
      <w:tblGrid>
        <w:gridCol w:w="859"/>
      </w:tblGrid>
      <w:tr w14:paraId="093586BA">
        <w:tblPrEx>
          <w:tblCellMar>
            <w:top w:w="0" w:type="dxa"/>
            <w:left w:w="108" w:type="dxa"/>
            <w:bottom w:w="0" w:type="dxa"/>
            <w:right w:w="108" w:type="dxa"/>
          </w:tblCellMar>
        </w:tblPrEx>
        <w:trPr>
          <w:trHeight w:val="123" w:hRule="atLeast"/>
        </w:trPr>
        <w:tc>
          <w:tcPr>
            <w:tcW w:w="5000" w:type="pct"/>
          </w:tcPr>
          <w:p w14:paraId="579E8845">
            <w:pPr>
              <w:overflowPunct w:val="0"/>
              <w:ind w:firstLine="640"/>
              <w:jc w:val="center"/>
              <w:rPr>
                <w:rFonts w:hint="default" w:ascii="Times New Roman" w:hAnsi="Times New Roman" w:cs="Times New Roman"/>
              </w:rPr>
            </w:pPr>
          </w:p>
        </w:tc>
      </w:tr>
    </w:tbl>
    <w:p w14:paraId="4EAE875D">
      <w:pPr>
        <w:overflowPunct w:val="0"/>
        <w:ind w:firstLine="0" w:firstLineChars="0"/>
        <w:rPr>
          <w:rFonts w:hint="default" w:ascii="Times New Roman" w:hAnsi="Times New Roman" w:eastAsia="方正仿宋简体" w:cs="Times New Roman"/>
        </w:rPr>
      </w:pPr>
      <w:bookmarkStart w:id="16" w:name="_Toc10144"/>
      <w:r>
        <w:rPr>
          <w:rFonts w:hint="default" w:ascii="Times New Roman" w:hAnsi="Times New Roman" w:eastAsia="方正仿宋简体" w:cs="Times New Roman"/>
          <w:sz w:val="24"/>
          <w:szCs w:val="21"/>
        </w:rPr>
        <w:t>注：[  ]为5年累计数。</w:t>
      </w:r>
      <w:r>
        <w:rPr>
          <w:rFonts w:hint="default" w:ascii="Times New Roman" w:hAnsi="Times New Roman" w:eastAsia="方正仿宋简体" w:cs="Times New Roman"/>
        </w:rPr>
        <w:br w:type="page"/>
      </w:r>
    </w:p>
    <w:p w14:paraId="0B8FFB65">
      <w:pPr>
        <w:pStyle w:val="47"/>
        <w:keepNext w:val="0"/>
        <w:keepLines w:val="0"/>
        <w:overflowPunct w:val="0"/>
        <w:spacing w:line="560" w:lineRule="exact"/>
        <w:rPr>
          <w:rFonts w:hint="default" w:ascii="Times New Roman" w:hAnsi="Times New Roman" w:eastAsia="方正小标宋_GBK" w:cs="Times New Roman"/>
          <w:sz w:val="36"/>
          <w:szCs w:val="36"/>
        </w:rPr>
      </w:pPr>
    </w:p>
    <w:p w14:paraId="64C7DC93">
      <w:pPr>
        <w:pStyle w:val="47"/>
        <w:keepNext w:val="0"/>
        <w:keepLines w:val="0"/>
        <w:overflowPunct w:val="0"/>
        <w:spacing w:line="560" w:lineRule="exact"/>
        <w:rPr>
          <w:rFonts w:hint="default" w:ascii="Times New Roman" w:hAnsi="Times New Roman" w:eastAsia="方正小标宋_GBK" w:cs="Times New Roman"/>
          <w:sz w:val="36"/>
          <w:szCs w:val="36"/>
        </w:rPr>
      </w:pPr>
      <w:bookmarkStart w:id="17" w:name="_Toc6598"/>
      <w:r>
        <w:rPr>
          <w:rFonts w:hint="default" w:ascii="Times New Roman" w:hAnsi="Times New Roman" w:eastAsia="方正小标宋_GBK" w:cs="Times New Roman"/>
          <w:sz w:val="36"/>
          <w:szCs w:val="36"/>
        </w:rPr>
        <w:t>第三篇  构建现代化产业体系，</w:t>
      </w:r>
      <w:bookmarkEnd w:id="16"/>
      <w:r>
        <w:rPr>
          <w:rFonts w:hint="default" w:ascii="Times New Roman" w:hAnsi="Times New Roman" w:eastAsia="方正小标宋_GBK" w:cs="Times New Roman"/>
          <w:sz w:val="36"/>
          <w:szCs w:val="36"/>
        </w:rPr>
        <w:t>巩固壮大实体经济根基</w:t>
      </w:r>
      <w:bookmarkEnd w:id="17"/>
    </w:p>
    <w:p w14:paraId="0678D028">
      <w:pPr>
        <w:pStyle w:val="47"/>
        <w:keepNext w:val="0"/>
        <w:keepLines w:val="0"/>
        <w:overflowPunct w:val="0"/>
        <w:spacing w:line="560" w:lineRule="exact"/>
        <w:rPr>
          <w:rFonts w:hint="default" w:ascii="Times New Roman" w:hAnsi="Times New Roman" w:eastAsia="方正小标宋_GBK" w:cs="Times New Roman"/>
          <w:sz w:val="36"/>
          <w:szCs w:val="36"/>
        </w:rPr>
      </w:pPr>
    </w:p>
    <w:p w14:paraId="0E4E6495">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以实体经济为本，大力推进新型工业化，聚焦智能化、绿色化、融合化发展方向，实现优势主导产业、新兴产业和未来产业全面发展，构建以先进制造业为骨干的现代化产业体系。力争到“十五五”末，全区规上工业企业达到400家以上，制造业增加值占GDP比重达到39%以上。</w:t>
      </w:r>
    </w:p>
    <w:p w14:paraId="334F71D7">
      <w:pPr>
        <w:pStyle w:val="45"/>
        <w:overflowPunct w:val="0"/>
        <w:spacing w:before="312" w:beforeLines="100" w:after="312" w:afterLines="100" w:line="560" w:lineRule="exact"/>
        <w:rPr>
          <w:rFonts w:hint="default" w:ascii="Times New Roman" w:hAnsi="Times New Roman" w:eastAsia="方正黑体简体" w:cs="Times New Roman"/>
        </w:rPr>
      </w:pPr>
      <w:bookmarkStart w:id="18" w:name="_Toc13416"/>
      <w:bookmarkStart w:id="19" w:name="_Toc29565"/>
      <w:r>
        <w:rPr>
          <w:rFonts w:hint="default" w:ascii="Times New Roman" w:hAnsi="Times New Roman" w:eastAsia="方正黑体简体" w:cs="Times New Roman"/>
        </w:rPr>
        <w:t>第一章  巩固提升优势主导产业</w:t>
      </w:r>
      <w:bookmarkEnd w:id="18"/>
      <w:bookmarkEnd w:id="19"/>
    </w:p>
    <w:p w14:paraId="5C2A01C7">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围绕“做大企业、做优链条、做强集群”，加强科技创新和产业创新，巩固提升优势主导产业，构建更加优良的集群发展生态，聚力打造3个千亿级、3个百亿级“雁阵形”产业集群，构筑根基牢、韧性强的先进制造业集群，加快推动产业向价值链高端迈进。</w:t>
      </w:r>
    </w:p>
    <w:p w14:paraId="58562E34">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20" w:name="_Toc6128"/>
      <w:r>
        <w:rPr>
          <w:rFonts w:hint="default" w:ascii="Times New Roman" w:hAnsi="Times New Roman" w:eastAsia="方正楷体简体" w:cs="Times New Roman"/>
          <w:bCs/>
        </w:rPr>
        <w:t>第一节  打造千亿级产业集群</w:t>
      </w:r>
      <w:bookmarkEnd w:id="20"/>
    </w:p>
    <w:p w14:paraId="4AFC1092">
      <w:pPr>
        <w:overflowPunct w:val="0"/>
        <w:ind w:firstLine="643"/>
        <w:rPr>
          <w:rFonts w:hint="default" w:ascii="Times New Roman" w:hAnsi="Times New Roman" w:eastAsia="方正仿宋简体" w:cs="Times New Roman"/>
        </w:rPr>
      </w:pPr>
      <w:r>
        <w:rPr>
          <w:rFonts w:hint="eastAsia" w:ascii="方正仿宋简体" w:hAnsi="方正仿宋简体" w:eastAsia="方正仿宋简体" w:cs="方正仿宋简体"/>
          <w:b/>
          <w:bCs/>
        </w:rPr>
        <w:t>新能源产业集群。</w:t>
      </w:r>
      <w:r>
        <w:rPr>
          <w:rFonts w:hint="default" w:ascii="Times New Roman" w:hAnsi="Times New Roman" w:eastAsia="方正仿宋简体" w:cs="Times New Roman"/>
        </w:rPr>
        <w:t>锚定“千亿级”目标，依托山东时代链主企业，打造北方最大新能源产业集群。推动山东时代新能源电池产业基地加快建设，聚力打造“灯塔+零碳工厂”标杆。围绕新能源电池、动力电池、新型储能装备、光伏装备和电力装备等产业链核心环节，培育壮大一批带动中小企业协同发展的骨干领军企业和创新平台，积极招引落地上下游企业，拓展新型储能产品应用场景，形成从材料制备到系统集成的全产业链体系。引导区内关联企业通过技术改造、设备更新、产学研合作等方式积极改造生产线，提升企业技术水平和产品竞争力，做大新能源产业集群。</w:t>
      </w:r>
    </w:p>
    <w:p w14:paraId="7E5D8E0E">
      <w:pPr>
        <w:pStyle w:val="2"/>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14:paraId="3D5A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14:paraId="6B213E98">
            <w:pPr>
              <w:keepNext w:val="0"/>
              <w:keepLines w:val="0"/>
              <w:pageBreakBefore w:val="0"/>
              <w:widowControl w:val="0"/>
              <w:kinsoku/>
              <w:wordWrap/>
              <w:overflowPunct w:val="0"/>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专栏1：新能源产业</w:t>
            </w:r>
          </w:p>
          <w:p w14:paraId="5A12900A">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山东时代新能源电池产业基地项目</w:t>
            </w:r>
          </w:p>
          <w:p w14:paraId="7B2D59E0">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通力轮胎有限公司新能源电池产业基地项目</w:t>
            </w:r>
          </w:p>
          <w:p w14:paraId="02762354">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颜店新城新能源、新材料配套产业园</w:t>
            </w:r>
          </w:p>
          <w:p w14:paraId="7D18B712">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华春新能源智能高效多场景光伏应用示范项目</w:t>
            </w:r>
          </w:p>
          <w:p w14:paraId="668356F1">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铭元达新能源激光非标自动化设备及配套生产线研发制造项目</w:t>
            </w:r>
          </w:p>
          <w:p w14:paraId="7694CD98">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金时锐新能源电池包组件精密智造自动化工厂项目</w:t>
            </w:r>
          </w:p>
          <w:p w14:paraId="7F02355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锐裕隆新能源电池配套托盘生产项目</w:t>
            </w:r>
          </w:p>
          <w:p w14:paraId="0EED1F48">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宜宾博翔年产3.6万吨新能源电池铝箱分切项目</w:t>
            </w:r>
          </w:p>
          <w:p w14:paraId="75EDC3CF">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长兴诺力锂电池零部件生产项目</w:t>
            </w:r>
          </w:p>
          <w:p w14:paraId="71BA3144">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恒翼能锂电池后段检测设备、固态电池设备、3C业务制造中心及储能基地项目</w:t>
            </w:r>
          </w:p>
          <w:p w14:paraId="669C08B6">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济宁合源10万吨电池余料回收再生循环利用项目</w:t>
            </w:r>
          </w:p>
          <w:p w14:paraId="14064D24">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洛阳广源锂电池材料精密结构件项目</w:t>
            </w:r>
          </w:p>
          <w:p w14:paraId="0D5EE11E">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远东电池年产5GWh储能总装项目</w:t>
            </w:r>
          </w:p>
          <w:p w14:paraId="4543ECFA">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东恒年产950万件新能源动力电池高端零配件制造项目</w:t>
            </w:r>
          </w:p>
          <w:p w14:paraId="5DE5C549">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cs="Times New Roman"/>
                <w:color w:val="00B050"/>
                <w:kern w:val="0"/>
                <w:sz w:val="30"/>
                <w:szCs w:val="30"/>
                <w:highlight w:val="yellow"/>
              </w:rPr>
            </w:pPr>
            <w:r>
              <w:rPr>
                <w:rFonts w:hint="default" w:ascii="Times New Roman" w:hAnsi="Times New Roman" w:eastAsia="方正仿宋简体" w:cs="Times New Roman"/>
                <w:kern w:val="0"/>
                <w:sz w:val="30"/>
                <w:szCs w:val="30"/>
              </w:rPr>
              <w:t>兆泰新能源高精度冷（热）轧辊新制及修复项目</w:t>
            </w:r>
          </w:p>
        </w:tc>
      </w:tr>
    </w:tbl>
    <w:p w14:paraId="25F715A7">
      <w:pPr>
        <w:keepNext w:val="0"/>
        <w:keepLines w:val="0"/>
        <w:pageBreakBefore w:val="0"/>
        <w:widowControl w:val="0"/>
        <w:kinsoku/>
        <w:wordWrap/>
        <w:overflowPunct w:val="0"/>
        <w:topLinePunct w:val="0"/>
        <w:autoSpaceDE/>
        <w:autoSpaceDN/>
        <w:bidi w:val="0"/>
        <w:adjustRightInd/>
        <w:snapToGrid/>
        <w:spacing w:line="280" w:lineRule="exact"/>
        <w:ind w:firstLine="643"/>
        <w:textAlignment w:val="auto"/>
        <w:rPr>
          <w:rFonts w:hint="default" w:ascii="Times New Roman" w:hAnsi="Times New Roman" w:cs="Times New Roman"/>
          <w:b/>
        </w:rPr>
      </w:pPr>
    </w:p>
    <w:p w14:paraId="1057B818">
      <w:pPr>
        <w:overflowPunct w:val="0"/>
        <w:ind w:firstLine="643"/>
        <w:rPr>
          <w:rFonts w:hint="default" w:ascii="Times New Roman" w:hAnsi="Times New Roman" w:eastAsia="方正仿宋简体" w:cs="Times New Roman"/>
        </w:rPr>
      </w:pPr>
      <w:r>
        <w:rPr>
          <w:rFonts w:hint="default" w:ascii="方正仿宋简体" w:hAnsi="方正仿宋简体" w:eastAsia="方正仿宋简体" w:cs="方正仿宋简体"/>
          <w:b/>
          <w:bCs/>
        </w:rPr>
        <w:t>造纸包装产业集群。</w:t>
      </w:r>
      <w:r>
        <w:rPr>
          <w:rFonts w:hint="default" w:ascii="Times New Roman" w:hAnsi="Times New Roman" w:eastAsia="方正仿宋简体" w:cs="Times New Roman"/>
        </w:rPr>
        <w:t>锚定“千亿级”目标，依托太阳纸业链主企业，建成具有国际竞争力的产业集群。加快推进太阳纸业新材料产业园建设，做大造纸产业规模。围绕产业链上下游，持续招大引强、招新引优，打造全球先进的高端造纸产业基地。聚焦文化用纸、包装印刷用纸、生活用纸和产业用纸等方向，推进林浆纸一体化建设，攻克微晶纤维素等关键核心技术，创建国家生物质新材料技术创新中心。加快“文化纸”产业大脑建设，提升全要素资源配置效率，创建国家卓越级智能工厂，打造智能化行业标杆。</w:t>
      </w:r>
    </w:p>
    <w:p w14:paraId="2F89DF1E">
      <w:pPr>
        <w:pStyle w:val="2"/>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p>
    <w:tbl>
      <w:tblPr>
        <w:tblStyle w:val="2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47D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vAlign w:val="top"/>
          </w:tcPr>
          <w:p w14:paraId="4F527717">
            <w:pPr>
              <w:overflowPunct w:val="0"/>
              <w:spacing w:line="500" w:lineRule="exact"/>
              <w:ind w:firstLine="0" w:firstLineChars="0"/>
              <w:jc w:val="center"/>
              <w:rPr>
                <w:rFonts w:hint="default" w:ascii="Times New Roman" w:hAnsi="Times New Roman" w:eastAsia="方正仿宋简体" w:cs="Times New Roman"/>
                <w:b/>
                <w:kern w:val="0"/>
                <w:sz w:val="30"/>
                <w:szCs w:val="30"/>
              </w:rPr>
            </w:pPr>
            <w:r>
              <w:rPr>
                <w:rFonts w:hint="default" w:ascii="Times New Roman" w:hAnsi="Times New Roman" w:eastAsia="方正仿宋简体" w:cs="Times New Roman"/>
                <w:kern w:val="0"/>
                <w:sz w:val="30"/>
                <w:szCs w:val="30"/>
              </w:rPr>
              <w:t>专栏2：造纸包装产业</w:t>
            </w:r>
          </w:p>
          <w:p w14:paraId="3B9DA37F">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太阳纸业年产60万吨漂白化学浆及碱回收等配套项目</w:t>
            </w:r>
          </w:p>
          <w:p w14:paraId="606C396A">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太阳纸业年产70万吨高档包装纸项目</w:t>
            </w:r>
          </w:p>
          <w:p w14:paraId="0924E4EE">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太阳纸业年产43万吨高档白卡纸智慧提升改造项目</w:t>
            </w:r>
          </w:p>
          <w:p w14:paraId="25582200">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太阳纸业年产48万吨高松厚度纯质纸技改项目</w:t>
            </w:r>
          </w:p>
          <w:p w14:paraId="1B27D208">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太阳纸业年产3.7万吨特种纸基新材料项目</w:t>
            </w:r>
          </w:p>
          <w:p w14:paraId="45FFE944">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心姿高端卫生用品生产基地建设项目</w:t>
            </w:r>
          </w:p>
          <w:p w14:paraId="7BA91138">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山东鼎辉包装科技有限公司年产8万吨食品级软纸淋膜项目</w:t>
            </w:r>
          </w:p>
          <w:p w14:paraId="0C71156D">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山东鼎辉彩印包装及智慧仓储项目</w:t>
            </w:r>
          </w:p>
          <w:p w14:paraId="07EC8748">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奥宇包装高速瓦楞纸板及5000万只包装纸箱生产项目</w:t>
            </w:r>
          </w:p>
          <w:p w14:paraId="3BCCA15A">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华胜纸制品易撕利包装项目</w:t>
            </w:r>
          </w:p>
          <w:p w14:paraId="72EF6EE3">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富德纸塑高端食品包装智能制造改扩建项目</w:t>
            </w:r>
          </w:p>
          <w:p w14:paraId="78134648">
            <w:pPr>
              <w:overflowPunct w:val="0"/>
              <w:spacing w:line="500" w:lineRule="exact"/>
              <w:ind w:firstLine="0" w:firstLineChars="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金叶液体包装智能化生产线建设项目</w:t>
            </w:r>
          </w:p>
          <w:p w14:paraId="5FEF7103">
            <w:pPr>
              <w:overflowPunct w:val="0"/>
              <w:spacing w:line="500" w:lineRule="exact"/>
              <w:ind w:firstLine="0" w:firstLineChars="0"/>
              <w:rPr>
                <w:rFonts w:hint="default" w:ascii="Times New Roman" w:hAnsi="Times New Roman" w:eastAsia="方正仿宋简体" w:cs="Times New Roman"/>
                <w:strike/>
                <w:color w:val="FF0000"/>
                <w:kern w:val="0"/>
                <w:sz w:val="30"/>
                <w:szCs w:val="30"/>
                <w:highlight w:val="yellow"/>
              </w:rPr>
            </w:pPr>
            <w:r>
              <w:rPr>
                <w:rFonts w:hint="default" w:ascii="Times New Roman" w:hAnsi="Times New Roman" w:eastAsia="方正仿宋简体" w:cs="Times New Roman"/>
                <w:kern w:val="0"/>
                <w:sz w:val="30"/>
                <w:szCs w:val="30"/>
              </w:rPr>
              <w:t>山东兴儒纸业有限公司纸芯加工生产线建设项目</w:t>
            </w:r>
          </w:p>
        </w:tc>
      </w:tr>
    </w:tbl>
    <w:p w14:paraId="2CD3D95F">
      <w:pPr>
        <w:keepNext w:val="0"/>
        <w:keepLines w:val="0"/>
        <w:pageBreakBefore w:val="0"/>
        <w:widowControl w:val="0"/>
        <w:kinsoku/>
        <w:wordWrap/>
        <w:overflowPunct w:val="0"/>
        <w:topLinePunct w:val="0"/>
        <w:autoSpaceDE/>
        <w:autoSpaceDN/>
        <w:bidi w:val="0"/>
        <w:adjustRightInd/>
        <w:snapToGrid/>
        <w:spacing w:line="280" w:lineRule="exact"/>
        <w:ind w:firstLine="643"/>
        <w:textAlignment w:val="auto"/>
        <w:rPr>
          <w:rFonts w:hint="default" w:ascii="Times New Roman" w:hAnsi="Times New Roman" w:cs="Times New Roman"/>
          <w:b/>
        </w:rPr>
      </w:pPr>
    </w:p>
    <w:p w14:paraId="0D10317D">
      <w:pPr>
        <w:overflowPunct w:val="0"/>
        <w:ind w:firstLine="643"/>
        <w:rPr>
          <w:rFonts w:hint="default" w:ascii="Times New Roman" w:hAnsi="Times New Roman" w:eastAsia="方正仿宋简体" w:cs="Times New Roman"/>
        </w:rPr>
      </w:pPr>
      <w:r>
        <w:rPr>
          <w:rFonts w:hint="default" w:ascii="方正仿宋简体" w:hAnsi="方正仿宋简体" w:eastAsia="方正仿宋简体" w:cs="方正仿宋简体"/>
          <w:b/>
          <w:bCs/>
        </w:rPr>
        <w:t>橡胶化工产业集群。</w:t>
      </w:r>
      <w:r>
        <w:rPr>
          <w:rFonts w:hint="default" w:ascii="Times New Roman" w:hAnsi="Times New Roman" w:eastAsia="方正仿宋简体" w:cs="Times New Roman"/>
        </w:rPr>
        <w:t>锚定“千亿级”目标，依托华勤集团链主企业，打造具有全球领先水平的高端轮胎研发制造基地。深化智能制造在轮胎行业的应用，推动先进制造设备与智能系统的深度融合。以生物基、可循环材料为方向，建设全球性橡胶轮胎研发中心，重点攻关新能源汽车轮胎及可再生材料等技术，建成“新材料（生物基橡胶）”产业大脑。深化轮胎企业、汽车装备企业协同发展，大力发展超高性能轮胎和新能源汽车专用轮胎，引领企业向价值链高端延伸、创新链前沿跃升。壮大兖州化学助剂产业园，培育造纸助剂、锂电添加剂、催化剂等高端精细化工产业，推进化工产业精细化延伸、绿色化改造、智能化增效、安全化发展，搭建化学助剂和专用化学品产业平台。</w:t>
      </w:r>
    </w:p>
    <w:p w14:paraId="2425EDFC">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p>
    <w:tbl>
      <w:tblPr>
        <w:tblStyle w:val="2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2CBB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vAlign w:val="top"/>
          </w:tcPr>
          <w:p w14:paraId="19122485">
            <w:pPr>
              <w:keepNext w:val="0"/>
              <w:keepLines w:val="0"/>
              <w:pageBreakBefore w:val="0"/>
              <w:widowControl w:val="0"/>
              <w:kinsoku/>
              <w:wordWrap/>
              <w:overflowPunct w:val="0"/>
              <w:topLinePunct w:val="0"/>
              <w:autoSpaceDE/>
              <w:autoSpaceDN/>
              <w:bidi w:val="0"/>
              <w:adjustRightInd/>
              <w:snapToGrid/>
              <w:spacing w:line="49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专栏3：橡胶化工产业</w:t>
            </w:r>
          </w:p>
          <w:p w14:paraId="5EBADBBE">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华勤兴达年产10万吨钢帘线项目</w:t>
            </w:r>
          </w:p>
          <w:p w14:paraId="6D8198CB">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倍耐力及神州400万套半钢子午线轮胎扩产项目</w:t>
            </w:r>
          </w:p>
          <w:p w14:paraId="2D92215D">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通力轮胎全钢子午线轮胎生产线智能化绿色化升级改造项目</w:t>
            </w:r>
          </w:p>
          <w:p w14:paraId="7CC134A7">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济宁长龙钢丝绳有限公司生产线升级改造项目</w:t>
            </w:r>
          </w:p>
          <w:p w14:paraId="282B3553">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康迪泰克高强力输送带生产线技术改造项目</w:t>
            </w:r>
          </w:p>
          <w:p w14:paraId="529E5B0E">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亿金金属高性能特种钢丝制品项目</w:t>
            </w:r>
          </w:p>
          <w:p w14:paraId="32EEEE41">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浩瀚之邦高端钢丝绳芯输送带扩能升级改造项目</w:t>
            </w:r>
          </w:p>
          <w:p w14:paraId="52F26ED1">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绿衍九州全降解聚乙烯醇（PVA）/淀粉薄膜智能制造项目</w:t>
            </w:r>
          </w:p>
          <w:p w14:paraId="4904C52E">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国际焦化20万吨绿色生物甲醇改造项目</w:t>
            </w:r>
          </w:p>
          <w:p w14:paraId="6162F9DB">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天成万丰6万吨阳离子醚化剂系列项目</w:t>
            </w:r>
          </w:p>
          <w:p w14:paraId="0839A8B6">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端信新材料年产5000吨贵金属催化剂资源循环利用项目</w:t>
            </w:r>
          </w:p>
          <w:p w14:paraId="1F69791D">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银泉精细化工30万吨/年双氧水项目</w:t>
            </w:r>
          </w:p>
          <w:p w14:paraId="2811ED88">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海坪新材料年产7万吨造纸助剂项目</w:t>
            </w:r>
          </w:p>
          <w:p w14:paraId="4E911367">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rPr>
            </w:pPr>
            <w:r>
              <w:rPr>
                <w:rFonts w:hint="default" w:ascii="Times New Roman" w:hAnsi="Times New Roman" w:eastAsia="方正仿宋简体" w:cs="Times New Roman"/>
                <w:kern w:val="0"/>
                <w:sz w:val="30"/>
                <w:szCs w:val="30"/>
              </w:rPr>
              <w:t>中胶能源十二烷基二苯醚二磺酸钠项目</w:t>
            </w:r>
          </w:p>
        </w:tc>
      </w:tr>
    </w:tbl>
    <w:p w14:paraId="08E7E2A2">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21" w:name="_Toc26816"/>
      <w:r>
        <w:rPr>
          <w:rFonts w:hint="default" w:ascii="Times New Roman" w:hAnsi="Times New Roman" w:eastAsia="方正楷体简体" w:cs="Times New Roman"/>
          <w:bCs/>
        </w:rPr>
        <w:t>第二节  扩容百亿级产业集群</w:t>
      </w:r>
      <w:bookmarkEnd w:id="21"/>
    </w:p>
    <w:p w14:paraId="5F621E77">
      <w:pPr>
        <w:overflowPunct w:val="0"/>
        <w:ind w:firstLine="643"/>
        <w:rPr>
          <w:rFonts w:hint="default" w:ascii="Times New Roman" w:hAnsi="Times New Roman" w:eastAsia="方正仿宋简体" w:cs="Times New Roman"/>
        </w:rPr>
      </w:pPr>
      <w:r>
        <w:rPr>
          <w:rFonts w:hint="default" w:ascii="方正仿宋简体" w:hAnsi="方正仿宋简体" w:eastAsia="方正仿宋简体" w:cs="方正仿宋简体"/>
          <w:b/>
          <w:bCs/>
        </w:rPr>
        <w:t>高端装备产业集群。</w:t>
      </w:r>
      <w:r>
        <w:rPr>
          <w:rFonts w:hint="default" w:ascii="Times New Roman" w:hAnsi="Times New Roman" w:eastAsia="方正仿宋简体" w:cs="Times New Roman"/>
        </w:rPr>
        <w:t>锚定200亿级目标，推动人工智能、新能源、工业互联网等技术与高端装备深度融合，实现生产过程智能化、产品服务化。以中欧国际数控机床产业园为引领，提升产业配套能力，打造全市工业母机产业核心聚集区。依托金大丰等龙头企业，发展新型空地一体智能农机装备，做强智能农机装备产业集群。积极打造“兖州钢构”特色品牌，鼓励经典集团、天意机械、光磊钢构等企业加快绿色建材及装配式建筑应用，促进建筑工厂化、产业化、部品化，引导企业由生产制造向制造服务转型，进一步做大做强优势特色产业集群。提升高端装备智能制造水平，带动金属零部件、专用设备产业快速发展。</w:t>
      </w:r>
    </w:p>
    <w:p w14:paraId="109CDAB8">
      <w:pPr>
        <w:pStyle w:val="2"/>
        <w:rPr>
          <w:rFonts w:hint="default" w:ascii="Times New Roman" w:hAnsi="Times New Roman" w:cs="Times New Roman"/>
        </w:rPr>
      </w:pPr>
    </w:p>
    <w:tbl>
      <w:tblPr>
        <w:tblStyle w:val="2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4D59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vAlign w:val="top"/>
          </w:tcPr>
          <w:p w14:paraId="2D881490">
            <w:pPr>
              <w:keepNext w:val="0"/>
              <w:keepLines w:val="0"/>
              <w:pageBreakBefore w:val="0"/>
              <w:widowControl w:val="0"/>
              <w:kinsoku/>
              <w:wordWrap/>
              <w:overflowPunct w:val="0"/>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专栏4：高端装备产业</w:t>
            </w:r>
          </w:p>
          <w:p w14:paraId="7A11BB0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经典重工高端装配式建筑集成房屋项目（二期）</w:t>
            </w:r>
          </w:p>
          <w:p w14:paraId="4F9B088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光磊高端产业园数字化智能制造生产线提升项目</w:t>
            </w:r>
          </w:p>
          <w:p w14:paraId="2EEB4736">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天意机械装配式建筑装备制造智能化和绿色化升级改造项目</w:t>
            </w:r>
          </w:p>
          <w:p w14:paraId="0B10F8A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汤姆高端灌装设备智能制造项目</w:t>
            </w:r>
          </w:p>
          <w:p w14:paraId="2B4D3005">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伊莱特深海工程系泊链高端装备产业项目</w:t>
            </w:r>
          </w:p>
          <w:p w14:paraId="21499046">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金大丰大型智慧农机装备生产线技术改造项目</w:t>
            </w:r>
          </w:p>
          <w:p w14:paraId="673C90B6">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康帅冷链高端冷链设备制造项目</w:t>
            </w:r>
          </w:p>
          <w:p w14:paraId="2B17441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海科年产300套智能皮带机整机及辅助配套设备生产项目</w:t>
            </w:r>
          </w:p>
          <w:p w14:paraId="2189FE2F">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联诚精密减速机关键零部件智能制造升级项目</w:t>
            </w:r>
          </w:p>
          <w:p w14:paraId="4BE4DC3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常青机械智慧园林扩产增效项目</w:t>
            </w:r>
          </w:p>
          <w:p w14:paraId="42895A3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康翊智能特种集装箱生产工程项目</w:t>
            </w:r>
          </w:p>
          <w:p w14:paraId="1EE52122">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山东锦霖模具钢精加工项目</w:t>
            </w:r>
          </w:p>
          <w:p w14:paraId="6938D7EA">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亚威通泰公用设施有限公司年产10万吨金属涂装项目</w:t>
            </w:r>
          </w:p>
          <w:p w14:paraId="66E08F1F">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山东七建重工有限公司金属加工项目</w:t>
            </w:r>
          </w:p>
          <w:p w14:paraId="3D92D64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赢聚网膜年产5000吨塑料网膜生产项目</w:t>
            </w:r>
          </w:p>
          <w:p w14:paraId="766BC69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金阳光环保节能日用玻璃生产线技改及设备更新项目</w:t>
            </w:r>
          </w:p>
          <w:p w14:paraId="49563B9B">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硕实年产2000吨钢结构构件加工项目</w:t>
            </w:r>
          </w:p>
          <w:p w14:paraId="2BB6EFB0">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金宸钢结构（山东）有限公司钢结构数智链合基地建设项目</w:t>
            </w:r>
          </w:p>
          <w:p w14:paraId="5B8754D6">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山东鲁匠人新型高强铝合金新能源汽车电池托盘研发生产项目</w:t>
            </w:r>
          </w:p>
          <w:p w14:paraId="5B516FAF">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济宁安辰机械有限公司机械配套产品生产项目</w:t>
            </w:r>
          </w:p>
          <w:p w14:paraId="32D801E5">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color w:val="00B050"/>
                <w:kern w:val="0"/>
                <w:sz w:val="30"/>
                <w:szCs w:val="30"/>
                <w:highlight w:val="yellow"/>
              </w:rPr>
            </w:pPr>
            <w:r>
              <w:rPr>
                <w:rFonts w:hint="default" w:ascii="Times New Roman" w:hAnsi="Times New Roman" w:eastAsia="方正仿宋简体" w:cs="Times New Roman"/>
                <w:kern w:val="0"/>
                <w:sz w:val="30"/>
                <w:szCs w:val="30"/>
              </w:rPr>
              <w:t>后浪高端真空镀膜装备制造项目</w:t>
            </w:r>
          </w:p>
        </w:tc>
      </w:tr>
    </w:tbl>
    <w:p w14:paraId="7D0AE862">
      <w:pPr>
        <w:keepNext w:val="0"/>
        <w:keepLines w:val="0"/>
        <w:pageBreakBefore w:val="0"/>
        <w:widowControl w:val="0"/>
        <w:kinsoku/>
        <w:wordWrap/>
        <w:overflowPunct w:val="0"/>
        <w:topLinePunct w:val="0"/>
        <w:autoSpaceDE/>
        <w:autoSpaceDN/>
        <w:bidi w:val="0"/>
        <w:adjustRightInd/>
        <w:snapToGrid/>
        <w:spacing w:line="360" w:lineRule="exact"/>
        <w:ind w:firstLine="643"/>
        <w:textAlignment w:val="auto"/>
        <w:rPr>
          <w:rFonts w:hint="default" w:ascii="Times New Roman" w:hAnsi="Times New Roman" w:cs="Times New Roman"/>
          <w:b/>
        </w:rPr>
      </w:pPr>
    </w:p>
    <w:p w14:paraId="7D3DE2DA">
      <w:pPr>
        <w:overflowPunct w:val="0"/>
        <w:ind w:firstLine="643"/>
        <w:rPr>
          <w:rFonts w:hint="default" w:ascii="Times New Roman" w:hAnsi="Times New Roman" w:eastAsia="方正仿宋简体" w:cs="Times New Roman"/>
        </w:rPr>
      </w:pPr>
      <w:r>
        <w:rPr>
          <w:rFonts w:hint="default" w:ascii="方正仿宋简体" w:hAnsi="方正仿宋简体" w:eastAsia="方正仿宋简体" w:cs="方正仿宋简体"/>
          <w:b/>
          <w:bCs/>
        </w:rPr>
        <w:t>现代食品产业集群。</w:t>
      </w:r>
      <w:r>
        <w:rPr>
          <w:rFonts w:hint="default" w:ascii="Times New Roman" w:hAnsi="Times New Roman" w:eastAsia="方正仿宋简体" w:cs="Times New Roman"/>
        </w:rPr>
        <w:t>锚定200亿级目标，着力培育壮大现代食品产业，全方位提升核心竞争力。依托农产品基础优势，发挥益海嘉里、今麦郎、白象等龙头企业带动作用，延伸粮油加工产业链条，推动产业从初级加工向精深加工与高值化利用转型。以天辰冷链物流园为支撑，积极探索食品深加工创新合作模式，开发特色冷链食品，构建集物流、贸易、服务于一体的一站式外贸综合服务平台。加强畜禽加工全产业链建设，依托樱源食品等农产品加工企业，构建覆盖育种养殖、屠宰分割、精深加工及冷链物流的现代化产业体系。挖掘和培育镇村农产品品牌，以现代工业思维与技术深度赋能农产品加工，持续提升产品附加值。</w:t>
      </w:r>
    </w:p>
    <w:p w14:paraId="2C34E675">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eastAsia="方正仿宋简体" w:cs="Times New Roman"/>
        </w:rPr>
      </w:pPr>
    </w:p>
    <w:tbl>
      <w:tblPr>
        <w:tblStyle w:val="2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2485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vAlign w:val="top"/>
          </w:tcPr>
          <w:p w14:paraId="1CF920C9">
            <w:pPr>
              <w:keepNext w:val="0"/>
              <w:keepLines w:val="0"/>
              <w:pageBreakBefore w:val="0"/>
              <w:widowControl w:val="0"/>
              <w:kinsoku/>
              <w:wordWrap/>
              <w:overflowPunct w:val="0"/>
              <w:topLinePunct w:val="0"/>
              <w:autoSpaceDE/>
              <w:autoSpaceDN/>
              <w:bidi w:val="0"/>
              <w:adjustRightInd/>
              <w:snapToGrid/>
              <w:spacing w:line="49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专栏5：现代食品产业</w:t>
            </w:r>
          </w:p>
          <w:p w14:paraId="2DF9CD13">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智膳纪元健康食品智慧工厂项目</w:t>
            </w:r>
          </w:p>
          <w:p w14:paraId="0A6E2356">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百味先绿色餐饮配料生产项目</w:t>
            </w:r>
          </w:p>
          <w:p w14:paraId="000B2E4D">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北美世佳营养健康坚果类食品精深加工项目</w:t>
            </w:r>
          </w:p>
          <w:p w14:paraId="42955A62">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樱源肉鸭全产业链高质量发展项目</w:t>
            </w:r>
          </w:p>
          <w:p w14:paraId="04F37DD8">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天辰年产5万吨冷链食品深加工及智慧冷链项目</w:t>
            </w:r>
          </w:p>
          <w:p w14:paraId="5A8BC145">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益海嘉里榨油车间改造升级项目</w:t>
            </w:r>
          </w:p>
          <w:p w14:paraId="54FC873F">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益海嘉里新建80吨/天花生油油脂精炼项目</w:t>
            </w:r>
          </w:p>
          <w:p w14:paraId="2EAF2DB6">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益海嘉里玉米胚芽压榨工艺改造项目</w:t>
            </w:r>
          </w:p>
          <w:p w14:paraId="6E4A9584">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今麦郎“北方现代食品特色产业园”高端饮品项目</w:t>
            </w:r>
          </w:p>
          <w:p w14:paraId="5FCA5CA6">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今麦郎（面品）非油炸生产线改造项目</w:t>
            </w:r>
          </w:p>
          <w:p w14:paraId="184DD325">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白象设备自动化升级改造项目</w:t>
            </w:r>
          </w:p>
          <w:p w14:paraId="2D5EC794">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兖州锦鸿渔业科技养殖产学研园区项目</w:t>
            </w:r>
          </w:p>
          <w:p w14:paraId="4BFBC812">
            <w:pPr>
              <w:keepNext w:val="0"/>
              <w:keepLines w:val="0"/>
              <w:pageBreakBefore w:val="0"/>
              <w:widowControl w:val="0"/>
              <w:kinsoku/>
              <w:wordWrap/>
              <w:overflowPunct w:val="0"/>
              <w:topLinePunct w:val="0"/>
              <w:autoSpaceDE/>
              <w:autoSpaceDN/>
              <w:bidi w:val="0"/>
              <w:adjustRightInd/>
              <w:snapToGrid/>
              <w:spacing w:line="490" w:lineRule="exact"/>
              <w:ind w:firstLine="0" w:firstLineChars="0"/>
              <w:textAlignment w:val="auto"/>
              <w:rPr>
                <w:rFonts w:hint="default" w:ascii="Times New Roman" w:hAnsi="Times New Roman" w:eastAsia="方正仿宋简体" w:cs="Times New Roman"/>
                <w:strike/>
                <w:color w:val="FF0000"/>
                <w:kern w:val="0"/>
                <w:sz w:val="30"/>
                <w:szCs w:val="30"/>
                <w:highlight w:val="yellow"/>
              </w:rPr>
            </w:pPr>
            <w:r>
              <w:rPr>
                <w:rFonts w:hint="default" w:ascii="Times New Roman" w:hAnsi="Times New Roman" w:eastAsia="方正仿宋简体" w:cs="Times New Roman"/>
                <w:kern w:val="0"/>
                <w:sz w:val="30"/>
                <w:szCs w:val="30"/>
              </w:rPr>
              <w:t>济宁蝎之源蝎子养殖与应用研究中心项目</w:t>
            </w:r>
          </w:p>
        </w:tc>
      </w:tr>
    </w:tbl>
    <w:p w14:paraId="207182B9">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p w14:paraId="07A4444B">
      <w:pPr>
        <w:overflowPunct w:val="0"/>
        <w:ind w:firstLine="643"/>
        <w:rPr>
          <w:rFonts w:hint="default" w:ascii="Times New Roman" w:hAnsi="Times New Roman" w:eastAsia="方正仿宋简体" w:cs="Times New Roman"/>
        </w:rPr>
      </w:pPr>
      <w:r>
        <w:rPr>
          <w:rFonts w:hint="default" w:ascii="方正仿宋简体" w:hAnsi="方正仿宋简体" w:eastAsia="方正仿宋简体" w:cs="方正仿宋简体"/>
          <w:b/>
          <w:bCs/>
        </w:rPr>
        <w:t>生物医药产业集群。</w:t>
      </w:r>
      <w:r>
        <w:rPr>
          <w:rFonts w:hint="default" w:ascii="Times New Roman" w:hAnsi="Times New Roman" w:eastAsia="方正仿宋简体" w:cs="Times New Roman"/>
        </w:rPr>
        <w:t>锚定100亿级目标，依托山东神州生物制药高端医药产业园，培育壮大生物医药产业。坚持自主研发与合作研发相结合，以长效缓释制剂、靶向制剂为主要方向，建设复杂制剂产业基地，打造生物医药创新型生产中心。依托六佳药辅、滨阳生物、广济药业等企业产业基础，加速向高端医用敷料、医用耗材、健康功能性食品等高附加值领域拓展，培育生物医药与健康消费新增长点。</w:t>
      </w:r>
    </w:p>
    <w:p w14:paraId="7E167451">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14:paraId="349A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14:paraId="0DD18075">
            <w:pPr>
              <w:keepNext w:val="0"/>
              <w:keepLines w:val="0"/>
              <w:pageBreakBefore w:val="0"/>
              <w:widowControl w:val="0"/>
              <w:kinsoku/>
              <w:wordWrap/>
              <w:overflowPunct w:val="0"/>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专栏6：生物医药产业</w:t>
            </w:r>
          </w:p>
          <w:p w14:paraId="3DAE615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神州生物制药高端医药产业园项目</w:t>
            </w:r>
          </w:p>
          <w:p w14:paraId="067B2B1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神州生物制药基于连续法制备复杂注射剂脂质体药物关键技术与代表性典型性抗真菌两性霉素B制剂研发与产业化项目</w:t>
            </w:r>
          </w:p>
          <w:p w14:paraId="11EEEC7E">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希尔康泰生产线智能化绿色化技术改造项目</w:t>
            </w:r>
          </w:p>
          <w:p w14:paraId="313BF109">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广济药业生物发酵技改项目</w:t>
            </w:r>
          </w:p>
          <w:p w14:paraId="4EE0B597">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广济药业合成生物学科技成果转化中试示范基地项目</w:t>
            </w:r>
          </w:p>
          <w:p w14:paraId="01176E8E">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瀚阳生物制药生产加工项目</w:t>
            </w:r>
            <w:r>
              <w:rPr>
                <w:rFonts w:hint="default" w:ascii="Times New Roman" w:hAnsi="Times New Roman" w:eastAsia="方正仿宋简体" w:cs="Times New Roman"/>
                <w:kern w:val="0"/>
                <w:sz w:val="30"/>
                <w:szCs w:val="30"/>
              </w:rPr>
              <w:tab/>
            </w:r>
          </w:p>
          <w:p w14:paraId="71DC6BA7">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凯达肥业年产15万吨生物菌肥项目</w:t>
            </w:r>
          </w:p>
          <w:p w14:paraId="125E09B9">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六佳药辅高端药用辅料（微晶纤维素及甘露醇）项目</w:t>
            </w:r>
          </w:p>
        </w:tc>
      </w:tr>
    </w:tbl>
    <w:p w14:paraId="3A198419">
      <w:pPr>
        <w:pStyle w:val="45"/>
        <w:keepNext w:val="0"/>
        <w:keepLines w:val="0"/>
        <w:pageBreakBefore w:val="0"/>
        <w:widowControl w:val="0"/>
        <w:kinsoku/>
        <w:wordWrap/>
        <w:overflowPunct w:val="0"/>
        <w:topLinePunct w:val="0"/>
        <w:autoSpaceDE/>
        <w:autoSpaceDN/>
        <w:bidi w:val="0"/>
        <w:adjustRightInd/>
        <w:snapToGrid/>
        <w:spacing w:before="0" w:after="0" w:line="200" w:lineRule="exact"/>
        <w:textAlignment w:val="auto"/>
        <w:rPr>
          <w:rFonts w:hint="default" w:ascii="Times New Roman" w:hAnsi="Times New Roman" w:eastAsia="方正黑体简体" w:cs="Times New Roman"/>
        </w:rPr>
      </w:pPr>
      <w:bookmarkStart w:id="22" w:name="_Toc32153"/>
      <w:bookmarkStart w:id="23" w:name="_Toc774"/>
    </w:p>
    <w:p w14:paraId="1BC081DF">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30" w:lineRule="exact"/>
        <w:textAlignment w:val="auto"/>
        <w:rPr>
          <w:rFonts w:hint="default" w:ascii="Times New Roman" w:hAnsi="Times New Roman" w:eastAsia="方正黑体简体" w:cs="Times New Roman"/>
        </w:rPr>
      </w:pPr>
      <w:r>
        <w:rPr>
          <w:rFonts w:hint="default" w:ascii="Times New Roman" w:hAnsi="Times New Roman" w:eastAsia="方正黑体简体" w:cs="Times New Roman"/>
        </w:rPr>
        <w:t xml:space="preserve">第二章  </w:t>
      </w:r>
      <w:bookmarkStart w:id="24" w:name="OLE_LINK1"/>
      <w:bookmarkStart w:id="25" w:name="OLE_LINK2"/>
      <w:r>
        <w:rPr>
          <w:rFonts w:hint="default" w:ascii="Times New Roman" w:hAnsi="Times New Roman" w:eastAsia="方正黑体简体" w:cs="Times New Roman"/>
        </w:rPr>
        <w:t>培育壮大新兴产业和未来产业</w:t>
      </w:r>
      <w:bookmarkEnd w:id="22"/>
      <w:bookmarkEnd w:id="23"/>
      <w:bookmarkEnd w:id="24"/>
      <w:bookmarkEnd w:id="25"/>
    </w:p>
    <w:p w14:paraId="1B31B8B5">
      <w:pPr>
        <w:keepNext w:val="0"/>
        <w:keepLines w:val="0"/>
        <w:pageBreakBefore w:val="0"/>
        <w:widowControl w:val="0"/>
        <w:kinsoku/>
        <w:wordWrap/>
        <w:overflowPunct w:val="0"/>
        <w:topLinePunct w:val="0"/>
        <w:autoSpaceDE/>
        <w:autoSpaceDN/>
        <w:bidi w:val="0"/>
        <w:adjustRightInd/>
        <w:snapToGrid/>
        <w:spacing w:line="53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抢占新质生产力发展先机，依托现有产业基础，瞄准新一代信息技术、新能源、人工智能、低空经济等新兴与未来产业，加快新技术、新产品、新场景大规模示范应用与推广，打造区域新兴与未来产业高地。</w:t>
      </w:r>
    </w:p>
    <w:p w14:paraId="1413E4C9">
      <w:pPr>
        <w:keepNext w:val="0"/>
        <w:keepLines w:val="0"/>
        <w:pageBreakBefore w:val="0"/>
        <w:widowControl w:val="0"/>
        <w:kinsoku/>
        <w:wordWrap/>
        <w:overflowPunct w:val="0"/>
        <w:topLinePunct w:val="0"/>
        <w:autoSpaceDE/>
        <w:autoSpaceDN/>
        <w:bidi w:val="0"/>
        <w:adjustRightInd/>
        <w:snapToGrid/>
        <w:spacing w:before="156" w:beforeLines="50" w:after="156" w:afterLines="50" w:line="530" w:lineRule="exact"/>
        <w:ind w:firstLine="0" w:firstLineChars="0"/>
        <w:jc w:val="center"/>
        <w:textAlignment w:val="auto"/>
        <w:outlineLvl w:val="2"/>
        <w:rPr>
          <w:rFonts w:hint="default" w:ascii="Times New Roman" w:hAnsi="Times New Roman" w:eastAsia="方正楷体简体" w:cs="Times New Roman"/>
          <w:bCs/>
        </w:rPr>
      </w:pPr>
      <w:bookmarkStart w:id="26" w:name="_Toc30845"/>
      <w:r>
        <w:rPr>
          <w:rFonts w:hint="default" w:ascii="Times New Roman" w:hAnsi="Times New Roman" w:eastAsia="方正楷体简体" w:cs="Times New Roman"/>
          <w:bCs/>
        </w:rPr>
        <w:t>第一节  拓展新一代信息技术产业</w:t>
      </w:r>
      <w:bookmarkEnd w:id="26"/>
    </w:p>
    <w:p w14:paraId="1B1ABC67">
      <w:pPr>
        <w:keepNext w:val="0"/>
        <w:keepLines w:val="0"/>
        <w:pageBreakBefore w:val="0"/>
        <w:widowControl w:val="0"/>
        <w:kinsoku/>
        <w:wordWrap/>
        <w:overflowPunct w:val="0"/>
        <w:topLinePunct w:val="0"/>
        <w:autoSpaceDE/>
        <w:autoSpaceDN/>
        <w:bidi w:val="0"/>
        <w:adjustRightInd/>
        <w:snapToGrid/>
        <w:spacing w:line="53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以电子信息产业园为载体，聚合园内企业技术优势，全面提升芯片设计制造能力，重点突破车规级功率半导体器件及先进封装测试技术，引领区域集成电路产业向高端迈进。着力推进华科创智星空顶产线、芯诺高端封测、布达泰克半导体真空共晶炉智能制造等项目，完善半导体产业链。前瞻布局新型显示、电子绝缘布、新一代柔性显示屏项目，壮大新一代信息技术产业规模。</w:t>
      </w:r>
    </w:p>
    <w:p w14:paraId="29890047">
      <w:pPr>
        <w:keepNext w:val="0"/>
        <w:keepLines w:val="0"/>
        <w:pageBreakBefore w:val="0"/>
        <w:widowControl w:val="0"/>
        <w:kinsoku/>
        <w:wordWrap/>
        <w:overflowPunct w:val="0"/>
        <w:topLinePunct w:val="0"/>
        <w:autoSpaceDE/>
        <w:autoSpaceDN/>
        <w:bidi w:val="0"/>
        <w:adjustRightInd/>
        <w:snapToGrid/>
        <w:spacing w:before="156" w:beforeLines="50" w:after="156" w:afterLines="50" w:line="540" w:lineRule="exact"/>
        <w:ind w:firstLine="0" w:firstLineChars="0"/>
        <w:jc w:val="center"/>
        <w:textAlignment w:val="auto"/>
        <w:outlineLvl w:val="2"/>
        <w:rPr>
          <w:rFonts w:hint="default" w:ascii="Times New Roman" w:hAnsi="Times New Roman" w:eastAsia="方正楷体简体" w:cs="Times New Roman"/>
          <w:bCs/>
        </w:rPr>
      </w:pPr>
      <w:bookmarkStart w:id="27" w:name="_Toc19439"/>
      <w:r>
        <w:rPr>
          <w:rFonts w:hint="default" w:ascii="Times New Roman" w:hAnsi="Times New Roman" w:eastAsia="方正楷体简体" w:cs="Times New Roman"/>
          <w:bCs/>
        </w:rPr>
        <w:t>第二节  引育低空经济产业</w:t>
      </w:r>
      <w:bookmarkEnd w:id="27"/>
    </w:p>
    <w:p w14:paraId="09EA2098">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抢抓国家和省低空经济高质量发展政策机遇，培育经济新增长点，系统引育低空经济全产业链。加快引进龙头项目，重点发展无人机研发制造、航空零部件生产、飞机拆解循环利用等细分领域。拓展无人机物流配送、农林植保、电力巡检、低空文旅体验等应用场景，推进低空飞行基础设施建设，构建“制造—运营—服务”协同发展的低空经济产业链。实施中科宇疆“北斗+低空”相控阵雷达及通信导航模块生产项目，攻关“北斗+AI”融合技术，加速相控阵雷达和北斗通信导航定位技术的研发与创新。依托大安机场优势，加快临空经济区建设，为低空产业发展提供关键的空间与设施支撑。</w:t>
      </w:r>
    </w:p>
    <w:p w14:paraId="66CDD318">
      <w:pPr>
        <w:keepNext w:val="0"/>
        <w:keepLines w:val="0"/>
        <w:pageBreakBefore w:val="0"/>
        <w:widowControl w:val="0"/>
        <w:kinsoku/>
        <w:wordWrap/>
        <w:overflowPunct w:val="0"/>
        <w:topLinePunct w:val="0"/>
        <w:autoSpaceDE/>
        <w:autoSpaceDN/>
        <w:bidi w:val="0"/>
        <w:adjustRightInd/>
        <w:snapToGrid/>
        <w:spacing w:before="156" w:beforeLines="50" w:after="156" w:afterLines="50" w:line="540" w:lineRule="exact"/>
        <w:ind w:firstLine="0" w:firstLineChars="0"/>
        <w:jc w:val="center"/>
        <w:textAlignment w:val="auto"/>
        <w:outlineLvl w:val="2"/>
        <w:rPr>
          <w:rFonts w:hint="default" w:ascii="Times New Roman" w:hAnsi="Times New Roman" w:eastAsia="方正楷体简体" w:cs="Times New Roman"/>
          <w:bCs/>
        </w:rPr>
      </w:pPr>
      <w:bookmarkStart w:id="28" w:name="_Toc6827"/>
      <w:r>
        <w:rPr>
          <w:rFonts w:hint="default" w:ascii="Times New Roman" w:hAnsi="Times New Roman" w:eastAsia="方正楷体简体" w:cs="Times New Roman"/>
          <w:bCs/>
        </w:rPr>
        <w:t>第三节  布局未来能源产业</w:t>
      </w:r>
      <w:bookmarkEnd w:id="28"/>
    </w:p>
    <w:p w14:paraId="543A2A83">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统筹发展新型储能与氢能产业，加快构建多能互补的绿色能源体系。以山东时代为引领，支持锂电优势企业围绕固态电池、钠离子电池、薄膜太阳能电池、大圆柱电池、大容量储能电芯等下一代新型储能技术持续攻关，推动新型储能实现变革性技术迭代。发挥联诚精密等企业制造优势，精准切入氢燃料电池赛道，构建“核心结构件—电堆—辅助系统—氢燃料电池”的完整产业链，并积极推动氢能在交通、储能等领域的规模化示范应用。</w:t>
      </w:r>
    </w:p>
    <w:p w14:paraId="0E22CCC1">
      <w:pPr>
        <w:keepNext w:val="0"/>
        <w:keepLines w:val="0"/>
        <w:pageBreakBefore w:val="0"/>
        <w:widowControl w:val="0"/>
        <w:kinsoku/>
        <w:wordWrap/>
        <w:overflowPunct w:val="0"/>
        <w:topLinePunct w:val="0"/>
        <w:autoSpaceDE/>
        <w:autoSpaceDN/>
        <w:bidi w:val="0"/>
        <w:adjustRightInd/>
        <w:snapToGrid/>
        <w:spacing w:before="156" w:beforeLines="50" w:after="156" w:afterLines="50" w:line="540" w:lineRule="exact"/>
        <w:ind w:firstLine="0" w:firstLineChars="0"/>
        <w:jc w:val="center"/>
        <w:textAlignment w:val="auto"/>
        <w:outlineLvl w:val="2"/>
        <w:rPr>
          <w:rFonts w:hint="default" w:ascii="Times New Roman" w:hAnsi="Times New Roman" w:eastAsia="方正楷体简体" w:cs="Times New Roman"/>
          <w:bCs/>
        </w:rPr>
      </w:pPr>
      <w:bookmarkStart w:id="29" w:name="_Toc30569"/>
      <w:r>
        <w:rPr>
          <w:rFonts w:hint="default" w:ascii="Times New Roman" w:hAnsi="Times New Roman" w:eastAsia="方正楷体简体" w:cs="Times New Roman"/>
          <w:bCs/>
        </w:rPr>
        <w:t>第四节  探索人工智能产业</w:t>
      </w:r>
      <w:bookmarkEnd w:id="29"/>
    </w:p>
    <w:p w14:paraId="4F54F26A">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抢抓“人工智能+”发展新机遇，系统引育布局人工智能产业，推动人工智能全方位赋能千行百业，打造一批人工智能标杆案例。依托智能控制、智能传感、模拟仿真等关键核心技术，大力推广柔性制造、共享制造、无人运载等创新模式，聚焦智能终端，重点招引并发展智能网联汽车、人形机器人等智能终端配套产业；拓展前沿应用，积极培育区块链、虚拟现实与数字孪生等应用场景。吸引元宇宙领域相关企业、人才和资本，探索构建完整的元宇宙产业生态体系。</w:t>
      </w:r>
    </w:p>
    <w:p w14:paraId="34BDDFED">
      <w:pPr>
        <w:pStyle w:val="19"/>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cs="Times New Roman"/>
        </w:rPr>
      </w:pPr>
    </w:p>
    <w:tbl>
      <w:tblPr>
        <w:tblStyle w:val="2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7B6F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4" w:type="dxa"/>
            <w:vAlign w:val="top"/>
          </w:tcPr>
          <w:p w14:paraId="20C49DF1">
            <w:pPr>
              <w:keepNext w:val="0"/>
              <w:keepLines w:val="0"/>
              <w:pageBreakBefore w:val="0"/>
              <w:widowControl w:val="0"/>
              <w:kinsoku/>
              <w:wordWrap/>
              <w:overflowPunct w:val="0"/>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专栏7：新兴产业项目</w:t>
            </w:r>
          </w:p>
          <w:p w14:paraId="0980FE33">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电子信息产业园二期项目</w:t>
            </w:r>
          </w:p>
          <w:p w14:paraId="3DF1F664">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芯诺电子车规级功率半导体器件生产线智能化提升改造项目、年产20万件微电子电源模块生产线项目、年产2500万只AI服务器电源用功率芯片生产线项目</w:t>
            </w:r>
          </w:p>
          <w:p w14:paraId="175E8219">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布达泰克半导体真空共晶炉智能制造项目</w:t>
            </w:r>
          </w:p>
          <w:p w14:paraId="0E3E97A5">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w w:val="90"/>
                <w:kern w:val="0"/>
                <w:sz w:val="30"/>
                <w:szCs w:val="30"/>
              </w:rPr>
            </w:pPr>
            <w:r>
              <w:rPr>
                <w:rFonts w:hint="default" w:ascii="Times New Roman" w:hAnsi="Times New Roman" w:eastAsia="方正仿宋简体" w:cs="Times New Roman"/>
                <w:w w:val="90"/>
                <w:kern w:val="0"/>
                <w:sz w:val="30"/>
                <w:szCs w:val="30"/>
              </w:rPr>
              <w:t>大步智能roboQ360低速无人运载机器人及应用平台研发和生产项目</w:t>
            </w:r>
          </w:p>
          <w:p w14:paraId="2C58D934">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华科创智星空顶产线项目</w:t>
            </w:r>
          </w:p>
          <w:p w14:paraId="3A25D649">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宇疆科技“北斗+低空”相控阵雷达及通信导航模块生产项目</w:t>
            </w:r>
          </w:p>
          <w:p w14:paraId="50F7AF2A">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中科数字产业及智算集群项目</w:t>
            </w:r>
          </w:p>
          <w:p w14:paraId="62A638D1">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福特尔高端新材料科创综合体项目</w:t>
            </w:r>
          </w:p>
          <w:p w14:paraId="0AF23614">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亮马新材料高温合金材料及高端零部件研发产业化项目</w:t>
            </w:r>
          </w:p>
          <w:p w14:paraId="23945745">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双健新材料年产1800吨电子元件专用薄膜材料项目</w:t>
            </w:r>
          </w:p>
          <w:p w14:paraId="63D197CE">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固池新材料高分子聚合物工程材料研发制造项目</w:t>
            </w:r>
          </w:p>
          <w:p w14:paraId="255E79CC">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鑫亚德新材料年产4000吨钢纸新材料建设项目</w:t>
            </w:r>
          </w:p>
          <w:p w14:paraId="6D51485D">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国家（生态）健康医疗大数据应用示范中心（兖州）项目</w:t>
            </w:r>
          </w:p>
          <w:p w14:paraId="447D468B">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南通华夏飞机维修拆解项目</w:t>
            </w:r>
          </w:p>
          <w:p w14:paraId="420F8A8E">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一级低空垂直起降设施项目</w:t>
            </w:r>
          </w:p>
          <w:p w14:paraId="2671AEB4">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民用航空飞机零部件循环利用项目</w:t>
            </w:r>
          </w:p>
          <w:p w14:paraId="466232A3">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安和低空产学研文旅项目</w:t>
            </w:r>
          </w:p>
          <w:p w14:paraId="3C04CCE1">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工业机器人生产线智能化和绿色化升级改造项目</w:t>
            </w:r>
          </w:p>
          <w:p w14:paraId="7CD93525">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聚真宝化工园区安全生产智慧管理平台升级改造</w:t>
            </w:r>
          </w:p>
          <w:p w14:paraId="236305D7">
            <w:pPr>
              <w:keepNext w:val="0"/>
              <w:keepLines w:val="0"/>
              <w:pageBreakBefore w:val="0"/>
              <w:widowControl w:val="0"/>
              <w:kinsoku/>
              <w:wordWrap/>
              <w:overflowPunct w:val="0"/>
              <w:topLinePunct w:val="0"/>
              <w:autoSpaceDE/>
              <w:autoSpaceDN/>
              <w:bidi w:val="0"/>
              <w:adjustRightInd/>
              <w:snapToGrid/>
              <w:spacing w:line="520" w:lineRule="exact"/>
              <w:ind w:firstLine="0" w:firstLineChars="0"/>
              <w:textAlignment w:val="auto"/>
              <w:rPr>
                <w:rFonts w:hint="default" w:ascii="Times New Roman" w:hAnsi="Times New Roman" w:cs="Times New Roman"/>
                <w:kern w:val="0"/>
                <w:sz w:val="30"/>
                <w:szCs w:val="30"/>
              </w:rPr>
            </w:pPr>
            <w:r>
              <w:rPr>
                <w:rFonts w:hint="default" w:ascii="Times New Roman" w:hAnsi="Times New Roman" w:eastAsia="方正仿宋简体" w:cs="Times New Roman"/>
                <w:kern w:val="0"/>
                <w:sz w:val="30"/>
                <w:szCs w:val="30"/>
              </w:rPr>
              <w:t>易运盈AI 盈出海智能客服软件开发建设项目</w:t>
            </w:r>
          </w:p>
        </w:tc>
      </w:tr>
    </w:tbl>
    <w:p w14:paraId="18E05EE0">
      <w:pPr>
        <w:pStyle w:val="45"/>
        <w:keepNext w:val="0"/>
        <w:keepLines w:val="0"/>
        <w:pageBreakBefore w:val="0"/>
        <w:widowControl w:val="0"/>
        <w:kinsoku/>
        <w:wordWrap/>
        <w:overflowPunct w:val="0"/>
        <w:topLinePunct w:val="0"/>
        <w:autoSpaceDE/>
        <w:autoSpaceDN/>
        <w:bidi w:val="0"/>
        <w:adjustRightInd/>
        <w:snapToGrid/>
        <w:spacing w:before="0" w:after="0" w:line="280" w:lineRule="exact"/>
        <w:textAlignment w:val="auto"/>
        <w:rPr>
          <w:rFonts w:hint="default" w:ascii="Times New Roman" w:hAnsi="Times New Roman" w:eastAsia="方正黑体简体" w:cs="Times New Roman"/>
        </w:rPr>
      </w:pPr>
      <w:bookmarkStart w:id="30" w:name="_Toc18203"/>
      <w:bookmarkStart w:id="31" w:name="_Toc9951"/>
    </w:p>
    <w:p w14:paraId="19B9A618">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40" w:lineRule="exact"/>
        <w:textAlignment w:val="auto"/>
        <w:rPr>
          <w:rFonts w:hint="default" w:ascii="Times New Roman" w:hAnsi="Times New Roman" w:eastAsia="方正黑体简体" w:cs="Times New Roman"/>
        </w:rPr>
      </w:pPr>
      <w:r>
        <w:rPr>
          <w:rFonts w:hint="default" w:ascii="Times New Roman" w:hAnsi="Times New Roman" w:eastAsia="方正黑体简体" w:cs="Times New Roman"/>
        </w:rPr>
        <w:t>第三章  大力发展生产性服务业</w:t>
      </w:r>
      <w:bookmarkEnd w:id="30"/>
      <w:bookmarkEnd w:id="31"/>
    </w:p>
    <w:p w14:paraId="0307D8F3">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入实施服务业“攀登进阶”和生产性服务业“倍增发展”行动，围绕产业转型升级需求，着力做大生产性服务业规模，增强生产性服务业对制造业高质量发展的支撑作用，推动生产性服务业向价值链高端延伸。到2030年，全区生产性服务业规模达到400亿元。</w:t>
      </w:r>
    </w:p>
    <w:p w14:paraId="0E3FB94D">
      <w:pPr>
        <w:keepNext w:val="0"/>
        <w:keepLines w:val="0"/>
        <w:pageBreakBefore w:val="0"/>
        <w:widowControl w:val="0"/>
        <w:kinsoku/>
        <w:wordWrap/>
        <w:overflowPunct w:val="0"/>
        <w:topLinePunct w:val="0"/>
        <w:autoSpaceDE/>
        <w:autoSpaceDN/>
        <w:bidi w:val="0"/>
        <w:adjustRightInd/>
        <w:snapToGrid/>
        <w:spacing w:before="156" w:beforeLines="50" w:after="156" w:afterLines="50" w:line="540" w:lineRule="exact"/>
        <w:ind w:firstLine="0" w:firstLineChars="0"/>
        <w:jc w:val="center"/>
        <w:textAlignment w:val="auto"/>
        <w:outlineLvl w:val="2"/>
        <w:rPr>
          <w:rFonts w:hint="default" w:ascii="Times New Roman" w:hAnsi="Times New Roman" w:eastAsia="方正楷体简体" w:cs="Times New Roman"/>
          <w:bCs/>
        </w:rPr>
      </w:pPr>
      <w:bookmarkStart w:id="32" w:name="_Toc24664"/>
      <w:r>
        <w:rPr>
          <w:rFonts w:hint="default" w:ascii="Times New Roman" w:hAnsi="Times New Roman" w:eastAsia="方正楷体简体" w:cs="Times New Roman"/>
          <w:bCs/>
        </w:rPr>
        <w:t>第一节  建设现代物流体系</w:t>
      </w:r>
      <w:bookmarkEnd w:id="32"/>
    </w:p>
    <w:p w14:paraId="73086EE3">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完善“主干引领、干支结合、节点支撑”的货运通道体系，提升综合交通枢纽能级。加快推进兖州国际陆港功能升级，积极申建铁路口岸，实现中欧班列常态化运营。拓展大安机场空港物流功能，优化机场航线布局，争取开放航空口岸、开通国际航班，重点培育航空冷链、跨境电商直邮等高附加值业态。推进天辰冷链等项目加快建设，促进现代物流业、先进制造业、农产品加工业融合发展。依托兖州国际陆港—工业园区智慧物流片区—兖州高新区新能源智慧物流园—中通智慧物流园，打造覆盖沿线新能源、高端装备产业的智能配送和运转连廊。</w:t>
      </w:r>
    </w:p>
    <w:p w14:paraId="69D11698">
      <w:pPr>
        <w:keepNext w:val="0"/>
        <w:keepLines w:val="0"/>
        <w:pageBreakBefore w:val="0"/>
        <w:widowControl w:val="0"/>
        <w:kinsoku/>
        <w:wordWrap/>
        <w:overflowPunct w:val="0"/>
        <w:topLinePunct w:val="0"/>
        <w:autoSpaceDE/>
        <w:autoSpaceDN/>
        <w:bidi w:val="0"/>
        <w:adjustRightInd/>
        <w:snapToGrid/>
        <w:spacing w:before="156" w:beforeLines="50" w:after="156" w:afterLines="50" w:line="540" w:lineRule="exact"/>
        <w:ind w:firstLine="0" w:firstLineChars="0"/>
        <w:jc w:val="center"/>
        <w:textAlignment w:val="auto"/>
        <w:outlineLvl w:val="2"/>
        <w:rPr>
          <w:rFonts w:hint="default" w:ascii="Times New Roman" w:hAnsi="Times New Roman" w:eastAsia="方正楷体简体" w:cs="Times New Roman"/>
          <w:bCs/>
        </w:rPr>
      </w:pPr>
      <w:bookmarkStart w:id="33" w:name="_Toc20875"/>
      <w:r>
        <w:rPr>
          <w:rFonts w:hint="default" w:ascii="Times New Roman" w:hAnsi="Times New Roman" w:eastAsia="方正楷体简体" w:cs="Times New Roman"/>
          <w:bCs/>
        </w:rPr>
        <w:t>第二节  壮大现代金融服务业</w:t>
      </w:r>
      <w:bookmarkEnd w:id="33"/>
    </w:p>
    <w:p w14:paraId="24B48336">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加大与基金、投行、私募等资本机构的对接力度，统筹运用财政资源，积极争取上级工业股权投资基金，重点支持企业的技术改造与科研攻关。持续优化信贷供给结构，围绕区域“头号工程”与产业转型升级，引导银行机构加大有效投放，保持信贷总量稳定增长。实施制造业贷款倍增计划，力争实现制造业贷款年新增25亿元以上。深化普惠金融服务，鼓励金融机构开展数据资产质押融资，确保普惠型小微企业贷款增速持续高于各项贷款平均增速。鼓励金融机构开展数据资产质押融资，探索“产业认定+科技增信”等路径，全面提升金融服务的数字化水平与适配能力。</w:t>
      </w:r>
    </w:p>
    <w:p w14:paraId="3ACAFFD4">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34" w:name="_Toc1417"/>
      <w:r>
        <w:rPr>
          <w:rFonts w:hint="default" w:ascii="Times New Roman" w:hAnsi="Times New Roman" w:eastAsia="方正楷体简体" w:cs="Times New Roman"/>
          <w:bCs/>
        </w:rPr>
        <w:t>第三节  做强电子商务产业</w:t>
      </w:r>
      <w:bookmarkEnd w:id="34"/>
    </w:p>
    <w:p w14:paraId="5A393968">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依托电子商务产业园，推动电子商务与特色产业深度融合，构建覆盖全球、便捷高效的电商服务生态。围绕造纸包装、橡胶轮胎、高端装备等产业优势，引导企业利用电商平台拓展市场。配套完善“跨境电商+产业带+海外仓”一体商贸体系，做优培训、认证、推广、报关、物流、退税等“一站式”出海服务，延伸海外服务仓功能。鼓励发展“直播带货”“短视频营销”等新模式，建设直播电商基地，推动“兖州制造”品牌出海，形成传统产业与电子商务深度融合、国内国际两个市场协同发展的新格局。到2030年，培育龙头电商企业100家以上，跨境电商交易额突破40亿元。</w:t>
      </w:r>
    </w:p>
    <w:p w14:paraId="0EFFEC82">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35" w:name="_Toc29048"/>
      <w:r>
        <w:rPr>
          <w:rFonts w:hint="default" w:ascii="Times New Roman" w:hAnsi="Times New Roman" w:eastAsia="方正楷体简体" w:cs="Times New Roman"/>
          <w:bCs/>
        </w:rPr>
        <w:t>第四节  构建专业化科技商务服务生态</w:t>
      </w:r>
      <w:bookmarkEnd w:id="35"/>
    </w:p>
    <w:p w14:paraId="6773069C">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依托西安交大科技园、济宁未来先进材料研究院等创新平台，聚焦研发设计、检验检测、知识产权保护、技术转移等关键环节，引育一批专业化公共服务机构，推动先进制造业和现代服务业融合发展。着力推动人力资源服务企业融合发展，规范招聘服务、劳务派遣等传统业态，鼓励发展猎头服务、共享用工等新模式；实施专业人才培优工程，拓展国际猎头服务、海外人才输出等服务出口。支持企业从单一产品制造向“智能产品+增值服务”的整体解决方案提供商转型升级，增强产业附加值与竞争力。</w:t>
      </w:r>
    </w:p>
    <w:p w14:paraId="556BC1B9">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36" w:name="_Toc31204"/>
      <w:r>
        <w:rPr>
          <w:rFonts w:hint="default" w:ascii="Times New Roman" w:hAnsi="Times New Roman" w:eastAsia="方正楷体简体" w:cs="Times New Roman"/>
          <w:bCs/>
        </w:rPr>
        <w:t>第五节  培育节能环保与绿色服务业</w:t>
      </w:r>
      <w:bookmarkEnd w:id="36"/>
    </w:p>
    <w:p w14:paraId="01C35E19">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积极发展环境治理整体解决方案、园区污染防治第三方治理等新业态。拓展专业化服务市场，重点培育合同能源管理、碳核算与认证、绿色低碳咨询等专业服务。完善再生资源回收体系，推广“互联网+回收”模式，支持再生资源加工企业向产品绿色设计、报废拆解、再制造、高值化利用等全链条延伸，推动产业集约化、高值化发展。构建市场化、专业化绿色服务生态，鼓励开展绿色供应链管理、产品碳足迹标识等服务，助力工业绿色化发展与区域低碳转型。</w:t>
      </w:r>
    </w:p>
    <w:p w14:paraId="3D5FCC99">
      <w:pPr>
        <w:keepNext w:val="0"/>
        <w:keepLines w:val="0"/>
        <w:pageBreakBefore w:val="0"/>
        <w:widowControl w:val="0"/>
        <w:kinsoku/>
        <w:wordWrap/>
        <w:overflowPunct w:val="0"/>
        <w:topLinePunct w:val="0"/>
        <w:autoSpaceDE/>
        <w:autoSpaceDN/>
        <w:bidi w:val="0"/>
        <w:adjustRightInd/>
        <w:snapToGrid/>
        <w:spacing w:line="280" w:lineRule="exact"/>
        <w:ind w:firstLine="664"/>
        <w:textAlignment w:val="auto"/>
        <w:rPr>
          <w:rFonts w:hint="default" w:ascii="Times New Roman" w:hAnsi="Times New Roman" w:cs="Times New Roman"/>
          <w:spacing w:val="6"/>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75B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14:paraId="426C18C7">
            <w:pPr>
              <w:keepNext w:val="0"/>
              <w:keepLines w:val="0"/>
              <w:pageBreakBefore w:val="0"/>
              <w:widowControl w:val="0"/>
              <w:kinsoku/>
              <w:wordWrap/>
              <w:overflowPunct w:val="0"/>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专栏8：生产性服务业项目</w:t>
            </w:r>
          </w:p>
          <w:p w14:paraId="07783E90">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bookmarkStart w:id="37" w:name="OLE_LINK4"/>
            <w:bookmarkStart w:id="38" w:name="OLE_LINK3"/>
            <w:r>
              <w:rPr>
                <w:rFonts w:hint="default" w:ascii="Times New Roman" w:hAnsi="Times New Roman" w:eastAsia="方正仿宋简体" w:cs="Times New Roman"/>
                <w:kern w:val="0"/>
                <w:sz w:val="30"/>
                <w:szCs w:val="30"/>
              </w:rPr>
              <w:t>太阳纸业面向造纸行业的综合性数字赋能平台项目</w:t>
            </w:r>
          </w:p>
          <w:p w14:paraId="07F5D963">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经典重工工业互联网信息化服务平台建设项目</w:t>
            </w:r>
          </w:p>
          <w:p w14:paraId="3FA3782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山东时代供应链智慧物流园</w:t>
            </w:r>
            <w:bookmarkEnd w:id="37"/>
            <w:bookmarkEnd w:id="38"/>
            <w:r>
              <w:rPr>
                <w:rFonts w:hint="default" w:ascii="Times New Roman" w:hAnsi="Times New Roman" w:eastAsia="方正仿宋简体" w:cs="Times New Roman"/>
                <w:kern w:val="0"/>
                <w:sz w:val="30"/>
                <w:szCs w:val="30"/>
              </w:rPr>
              <w:t>项目</w:t>
            </w:r>
          </w:p>
          <w:p w14:paraId="2A5E342F">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兖州北站扩能改造工程</w:t>
            </w:r>
          </w:p>
          <w:p w14:paraId="61033A41">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济宁邮区中心局暨电商物流产业园建设项目</w:t>
            </w:r>
          </w:p>
          <w:p w14:paraId="1BC2D61A">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宝植造纸产业链智慧物流</w:t>
            </w:r>
          </w:p>
          <w:p w14:paraId="0586F7AA">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兖一冻鲜供应链科技园项目</w:t>
            </w:r>
          </w:p>
          <w:p w14:paraId="4B15ACC0">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易盈出海外贸公共服务平台及软件研发服务项目</w:t>
            </w:r>
          </w:p>
          <w:p w14:paraId="6CA9C3EB">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颜店新城智慧物流仓储产业链项目一期、二期项目</w:t>
            </w:r>
          </w:p>
          <w:p w14:paraId="5E564D23">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时代总部数字经济产业园项目</w:t>
            </w:r>
          </w:p>
          <w:p w14:paraId="000C90D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颜店片区高端服务业集聚区建设工程</w:t>
            </w:r>
          </w:p>
          <w:p w14:paraId="2FAC4B25">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颜店乡村振兴物流中心项目</w:t>
            </w:r>
          </w:p>
          <w:p w14:paraId="157B4514">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兖州传化智造供应链融合基地项目</w:t>
            </w:r>
          </w:p>
          <w:p w14:paraId="5FA67487">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永丰物流园建设项目</w:t>
            </w:r>
          </w:p>
          <w:p w14:paraId="0D1CCBF1">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草本山海绿色智慧物流仓储配一体化示范项目</w:t>
            </w:r>
          </w:p>
          <w:p w14:paraId="74544C8C">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方正仿宋简体" w:cs="Times New Roman"/>
                <w:color w:val="00B050"/>
                <w:kern w:val="0"/>
                <w:sz w:val="30"/>
                <w:szCs w:val="30"/>
                <w:highlight w:val="yellow"/>
              </w:rPr>
            </w:pPr>
            <w:r>
              <w:rPr>
                <w:rFonts w:hint="default" w:ascii="Times New Roman" w:hAnsi="Times New Roman" w:eastAsia="方正仿宋简体" w:cs="Times New Roman"/>
                <w:kern w:val="0"/>
                <w:sz w:val="30"/>
                <w:szCs w:val="30"/>
              </w:rPr>
              <w:t>正吉智慧物流园项目</w:t>
            </w:r>
          </w:p>
        </w:tc>
      </w:tr>
    </w:tbl>
    <w:p w14:paraId="548A96FE">
      <w:pPr>
        <w:pStyle w:val="45"/>
        <w:keepNext w:val="0"/>
        <w:keepLines w:val="0"/>
        <w:pageBreakBefore w:val="0"/>
        <w:widowControl w:val="0"/>
        <w:kinsoku/>
        <w:wordWrap/>
        <w:overflowPunct w:val="0"/>
        <w:topLinePunct w:val="0"/>
        <w:autoSpaceDE/>
        <w:autoSpaceDN/>
        <w:bidi w:val="0"/>
        <w:adjustRightInd/>
        <w:snapToGrid/>
        <w:spacing w:before="0" w:after="0" w:line="280" w:lineRule="exact"/>
        <w:textAlignment w:val="auto"/>
        <w:rPr>
          <w:rFonts w:hint="default" w:ascii="Times New Roman" w:hAnsi="Times New Roman" w:eastAsia="方正黑体简体" w:cs="Times New Roman"/>
        </w:rPr>
      </w:pPr>
      <w:bookmarkStart w:id="39" w:name="_Toc24648"/>
      <w:bookmarkStart w:id="40" w:name="_Toc4136"/>
    </w:p>
    <w:p w14:paraId="69519E7E">
      <w:pPr>
        <w:pStyle w:val="45"/>
        <w:overflowPunct w:val="0"/>
        <w:spacing w:before="312" w:beforeLines="100" w:after="312" w:afterLines="100"/>
        <w:rPr>
          <w:rFonts w:hint="default" w:ascii="Times New Roman" w:hAnsi="Times New Roman" w:eastAsia="方正黑体简体" w:cs="Times New Roman"/>
        </w:rPr>
      </w:pPr>
      <w:r>
        <w:rPr>
          <w:rFonts w:hint="default" w:ascii="Times New Roman" w:hAnsi="Times New Roman" w:eastAsia="方正黑体简体" w:cs="Times New Roman"/>
        </w:rPr>
        <w:t>第四章  做强做优数字经济</w:t>
      </w:r>
      <w:bookmarkEnd w:id="39"/>
      <w:bookmarkEnd w:id="40"/>
    </w:p>
    <w:p w14:paraId="1E770FE7">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充分发挥数字经济对实体经济赋能作用，加快完善数字基础设施，全面推动制造业数字化转型，持续优化数字产业生态，为现代化产业体系注入强劲动能。“十五五”期间，数字经济核心产业增加值占GDP比重达到8%左右。</w:t>
      </w:r>
    </w:p>
    <w:p w14:paraId="65F23E8C">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1" w:name="_Toc16942"/>
      <w:r>
        <w:rPr>
          <w:rFonts w:hint="default" w:ascii="Times New Roman" w:hAnsi="Times New Roman" w:eastAsia="方正楷体简体" w:cs="Times New Roman"/>
          <w:bCs/>
        </w:rPr>
        <w:t>第一节  夯实数字基础设施根基</w:t>
      </w:r>
      <w:bookmarkEnd w:id="41"/>
    </w:p>
    <w:p w14:paraId="54C15875">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实施网络基础设施升级行动，建成5G基站300个以上，总数达到1800个以上，实现5G、千兆光网在重点工业企业、园区全覆盖，适时布局6G等下一代通信技术试验场景。加快部署工业互联网标识解析体系。巩固鲁南地质勘探院“山东省数字经济产业创新中心”成果，推动大数据服务能力覆盖全区50%以上的部门、企业。推动“北斗卫星测绘中心”建设与应用，为智能交通、精准农业等领域提供高精度位置服务。聚焦新能源、高端装备等产业集群，合规布局数据与算力设施，提升工业数据实时处理能力。“十五五”期间，工业互联网平台接入企业突破500家。</w:t>
      </w:r>
    </w:p>
    <w:p w14:paraId="5E823025">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2" w:name="_Toc855"/>
      <w:r>
        <w:rPr>
          <w:rFonts w:hint="default" w:ascii="Times New Roman" w:hAnsi="Times New Roman" w:eastAsia="方正楷体简体" w:cs="Times New Roman"/>
          <w:bCs/>
        </w:rPr>
        <w:t>第二节  深化制造业数字化转型</w:t>
      </w:r>
      <w:bookmarkEnd w:id="42"/>
    </w:p>
    <w:p w14:paraId="6A24FD55">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人工智能+工业”主阵地，构建多层次工业互联网平台，推动制造业数字化转型。依托华勤集团、太阳纸业等龙头企业打造“橡胶产业大脑”“文化纸产业大脑”等行业级综合平台，接入产业链企业50家以上。推动经典重工、金大丰、天意机械等骨干企业升级“智能制造管理平台”“智能农机云平台”“天云平台”等产业链协同的企业级平台，提升生产效率10%以上。建立完善“国家—省—市”智能工厂梯次培育体系，建设智能工厂、数字化车间15家，培育省级“晨星工厂”60家。支持企业实施数字化转型，开发集成小型化、快速化、轻量化、精准化的数字化解决方案、产品20个以上。实现规上企业数字化改造全面普及，产业链协同效率大幅提升，工业AI成为提质增效的核心驱动力。</w:t>
      </w:r>
    </w:p>
    <w:p w14:paraId="25219960">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3" w:name="_Toc22813"/>
      <w:r>
        <w:rPr>
          <w:rFonts w:hint="default" w:ascii="Times New Roman" w:hAnsi="Times New Roman" w:eastAsia="方正楷体简体" w:cs="Times New Roman"/>
          <w:bCs/>
        </w:rPr>
        <w:t>第三节  培育壮大数字产业规模</w:t>
      </w:r>
      <w:bookmarkEnd w:id="43"/>
    </w:p>
    <w:p w14:paraId="77FFE44C">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深入推进数字产业化，实施数字经济核心产业培优工程，巩固提升行业应用软件水平，支持企业布局首版次高端软件，力争获批“山东省首版次高端软件”产品3个以上。持续优化数字经济发展生态，依托工业AI数字生态创新中心，每年引进、培育优质数字化服务商5家以上。建设集成技术、人才、金融等资源的“数字化转型服务超市”，促进数字技术供需高效对接。重点推动新技术新产品在新场景中的应用，强化场景创新、开放共享，加速培育“5G+”“工业互联网+”“人工智能+”“机器人+”等融合场景应用，以规模化场景应用牵引技术迭代和产业升级。</w:t>
      </w:r>
    </w:p>
    <w:p w14:paraId="04E17C34">
      <w:pPr>
        <w:pStyle w:val="45"/>
        <w:overflowPunct w:val="0"/>
        <w:spacing w:before="312" w:beforeLines="100" w:after="312" w:afterLines="100"/>
        <w:rPr>
          <w:rFonts w:hint="default" w:ascii="Times New Roman" w:hAnsi="Times New Roman" w:eastAsia="方正黑体简体" w:cs="Times New Roman"/>
        </w:rPr>
      </w:pPr>
      <w:bookmarkStart w:id="44" w:name="_Toc28477"/>
      <w:bookmarkStart w:id="45" w:name="_Toc17625"/>
      <w:r>
        <w:rPr>
          <w:rFonts w:hint="default" w:ascii="Times New Roman" w:hAnsi="Times New Roman" w:eastAsia="方正黑体简体" w:cs="Times New Roman"/>
        </w:rPr>
        <w:t>第五章  全力打造现代化产业园区</w:t>
      </w:r>
      <w:bookmarkEnd w:id="44"/>
      <w:bookmarkEnd w:id="45"/>
    </w:p>
    <w:p w14:paraId="6DAA522B">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遵循“规划引领、集聚集约、创新驱动、绿色低碳、开放协同”的基本原则，聚力在做优载体上强力突破，推动全区产业园区模式由粗放扩张向内涵提升转变。持续强化产业集聚效应，为高质量发展提供坚实支撑。</w:t>
      </w:r>
    </w:p>
    <w:p w14:paraId="11B17787">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6" w:name="_Toc31988"/>
      <w:r>
        <w:rPr>
          <w:rFonts w:hint="default" w:ascii="Times New Roman" w:hAnsi="Times New Roman" w:eastAsia="方正楷体简体" w:cs="Times New Roman"/>
          <w:bCs/>
        </w:rPr>
        <w:t>第一节  提档升级兖州工业园区</w:t>
      </w:r>
      <w:bookmarkEnd w:id="46"/>
    </w:p>
    <w:p w14:paraId="082C5002">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锚定创建国家级开发区目标，坚持“向新、向高、向强”发展方向，聚力实现对外开放、工业质效、创新驱动、载体功能、综合治理“五个新跃升”，规上工业企业、高新技术企业实现“倍增”，加快打造“千亿级”园区，保持全省开发区第一方阵，勇当省级开发区“排头兵”。</w:t>
      </w:r>
    </w:p>
    <w:p w14:paraId="6E4587D9">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实施“2+3+N”产业战略，重点培育橡胶、造纸两大支柱产业，大力发展高端装备、现代食品、精细化工三个优势特色产业，做大做强太阳工业园、华勤工业园、化学助剂产业园、中欧国际数控机床产业园、健康食品产业园、电子信息产业园、综合物流园，规划建设西安交大国家大学科技园兖州分园、贵金属循环利用产业园，打造高端、高质、高效发展的现代化新型园区。</w:t>
      </w:r>
    </w:p>
    <w:p w14:paraId="79988B55">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完善“管委会+公司”市场化运营机制，健全完善重点项目全程服务保障体系，实施园区基础设施提升工程，按照“北拓南优、中路贯通”的开发思路，重点推进创业路轴线南北拓展，打通荆州路、梁州路、福州路等主干路网，衔接泰安路、滋阳路等东西向通道，建设太阳新材料产业园二期配套基础设施项目，实施工业园区输配变电站工程，规划建设临企商业社区等功能性配套设施，构建“廊带串联、组团发展”的空间形态，促进园区与主城区基础设施互联互通、功能互补。推进标准厂房、科技企业孵化器等平台建设，强化安全生产监管，打造营商环境优越、创新活力迸发、“产城人”高度融合的现代化产业园区和兖州“北部新城”。</w:t>
      </w:r>
    </w:p>
    <w:p w14:paraId="715E93D6">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7" w:name="_Toc24635"/>
      <w:r>
        <w:rPr>
          <w:rFonts w:hint="default" w:ascii="Times New Roman" w:hAnsi="Times New Roman" w:eastAsia="方正楷体简体" w:cs="Times New Roman"/>
          <w:bCs/>
        </w:rPr>
        <w:t>第二节  提质扩容兖州高新区</w:t>
      </w:r>
      <w:bookmarkEnd w:id="47"/>
    </w:p>
    <w:p w14:paraId="4AC8E3BC">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生态优先、绿色低碳发展，优化园区规划布局，沿济阳路、兖颜路构筑综合服务与产业发展联动轴，构建以新能源产业为主导，新材料、高端装备制造为优势的“1+2”现代产业体系。全面提标基础设施，以产兴城、以城促产，打造新能源产业发展高地，逐步扩展建设23.65平方公里“区中园”。到2030年，园区规上工业营业收入突破800亿元，高新技术产业产值占园区工业总产值50%以上，带动就业2万人。</w:t>
      </w:r>
    </w:p>
    <w:p w14:paraId="0D4352B6">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聚焦强链、补链、延链，促进产业能级提升，依托山东时代，打造“灯塔工厂”“零碳园区”，重点发展超大容量储能电池、商用车动力电池及系统集成等产品，支持企业产能爬坡、增资扩产，力争产能达到200GWh，突破发展新能源细分领域产业链企业，形成千亿级规模，打造新能源产业发展高地。培育发展新材料、高端装备制造两大潜在优势产业，发展壮大战略性新兴产业。大力发展工业设计、检验检测、数字化转型、供应链管理、智慧物流等生产性服务业，精准匹配产业升级需求。强化科技创新引领，积极承接西安交大国家科技园兖州分园、济宁未来先进产业研究院等科研院所科技成果转移转化。规划建设人才公寓、公共研发平台、科技服务平台等服务载体，大力实施“柔性引才计划”，完善人才服务机制，引进各类高层次人才150人以上。推动公共设施建设，优化提升教育、医疗服务水平，规划建设商业综合体、住宅，融合多维度生活场景，打造多业态生活空间。实施污水处理厂扩容提标工程，加快推进 2×5 万千瓦背压机组热电联产及供气管网、消防站、工业供水厂、路网贯通等重大基础设施建设，进一步完善园区功能布局。</w:t>
      </w:r>
    </w:p>
    <w:p w14:paraId="548D93BF">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8" w:name="_Toc23320"/>
      <w:r>
        <w:rPr>
          <w:rFonts w:hint="default" w:ascii="Times New Roman" w:hAnsi="Times New Roman" w:eastAsia="方正楷体简体" w:cs="Times New Roman"/>
          <w:bCs/>
        </w:rPr>
        <w:t>第三节  提优增效现代物流园区</w:t>
      </w:r>
      <w:bookmarkEnd w:id="48"/>
    </w:p>
    <w:p w14:paraId="52C66E13">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立足“四通八达”的交通公路网、航空网、铁路网，强化物流基础设施和服务能力建设，高标准建设“千亩连片”现代物流产业基地，吸引龙头快递企业设立区域性分拨与结算中心，加快冷链食品加工及智慧冷链项目建设，完善供销、邮政等城乡网点布局，实现综合商贸综合体和物流配送中心、乡镇商贸中心、快递服务中心100%全覆盖，全力打造区域性邮政快递枢纽。依托国际陆港、兖州北站、大安机场等交通设施，构建多式联运智慧物流网络，布局航空物流、跨境电商、信息服务等产业，做强航空快件、冷链生鲜、医药等运输业务。依托现代物流项目，构建“区域核心园+城市配送站+乡镇节点”三级服务网络，推广“物流+电商”“物流+特色产业”融合路径，打造“仓储—交易—配送”一站式服务平台，全面打通城乡商贸流通“最后一公里”。适应直播电商、社区团购等新业态发展，鼓励物流企业配套“前置仓+即时送”服务模块，满足高频次、小批量的居民生活需要。</w:t>
      </w:r>
    </w:p>
    <w:p w14:paraId="7898241E">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49" w:name="_Toc24215"/>
      <w:r>
        <w:rPr>
          <w:rFonts w:hint="default" w:ascii="Times New Roman" w:hAnsi="Times New Roman" w:eastAsia="方正楷体简体" w:cs="Times New Roman"/>
          <w:bCs/>
        </w:rPr>
        <w:t>第四节  提标扩面镇街小微产业园</w:t>
      </w:r>
      <w:bookmarkEnd w:id="49"/>
    </w:p>
    <w:p w14:paraId="0E9324E9">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产城一体、差异化发展原则，因地制宜推进镇街小微产业园建设。通过盘活闲置资源、完善配套设施，为本土特色项目提供发展空间。鼓励各园区立足自身优势，明确主导产业，实现特色化、专业化发展。重点支持兴隆庄纸制品产业园、龙桥电商产业园、新驿健康食品产业园等做大做强，推动小孟新材料、大安银发经济、漕河高端装备、鼓楼新能源汽车、酒仙桥文旅等产业园实现新突破。</w:t>
      </w:r>
    </w:p>
    <w:p w14:paraId="04547763">
      <w:pPr>
        <w:overflowPunct w:val="0"/>
        <w:ind w:firstLine="640"/>
        <w:rPr>
          <w:rFonts w:hint="default" w:ascii="Times New Roman" w:hAnsi="Times New Roman" w:eastAsia="方正仿宋简体" w:cs="Times New Roman"/>
        </w:rPr>
        <w:sectPr>
          <w:pgSz w:w="11906" w:h="16838"/>
          <w:pgMar w:top="2155" w:right="1588" w:bottom="1304" w:left="1588" w:header="1361" w:footer="1418" w:gutter="0"/>
          <w:cols w:space="425" w:num="1"/>
          <w:docGrid w:type="linesAndChars" w:linePitch="312" w:charSpace="0"/>
        </w:sectPr>
      </w:pPr>
    </w:p>
    <w:p w14:paraId="3E74A0EE">
      <w:pPr>
        <w:pStyle w:val="47"/>
        <w:keepNext w:val="0"/>
        <w:keepLines w:val="0"/>
        <w:overflowPunct w:val="0"/>
        <w:spacing w:line="560" w:lineRule="exact"/>
        <w:rPr>
          <w:rFonts w:hint="default" w:ascii="Times New Roman" w:hAnsi="Times New Roman" w:eastAsia="方正小标宋_GBK" w:cs="Times New Roman"/>
          <w:sz w:val="36"/>
          <w:szCs w:val="36"/>
        </w:rPr>
      </w:pPr>
      <w:bookmarkStart w:id="50" w:name="_Toc4940"/>
      <w:bookmarkStart w:id="51" w:name="_Toc213323343"/>
    </w:p>
    <w:p w14:paraId="7BC6DED7">
      <w:pPr>
        <w:pStyle w:val="47"/>
        <w:keepNext w:val="0"/>
        <w:keepLines w:val="0"/>
        <w:overflowPunct w:val="0"/>
        <w:spacing w:line="560" w:lineRule="exact"/>
        <w:rPr>
          <w:rFonts w:hint="default" w:ascii="Times New Roman" w:hAnsi="Times New Roman" w:eastAsia="方正小标宋_GBK" w:cs="Times New Roman"/>
          <w:sz w:val="36"/>
          <w:szCs w:val="36"/>
        </w:rPr>
      </w:pPr>
      <w:bookmarkStart w:id="52" w:name="_Toc4419"/>
      <w:r>
        <w:rPr>
          <w:rFonts w:hint="default" w:ascii="Times New Roman" w:hAnsi="Times New Roman" w:eastAsia="方正小标宋_GBK" w:cs="Times New Roman"/>
          <w:sz w:val="36"/>
          <w:szCs w:val="36"/>
        </w:rPr>
        <w:t>第四篇  完善高质量科创体系，塑强创新发展新</w:t>
      </w:r>
      <w:bookmarkEnd w:id="50"/>
      <w:bookmarkEnd w:id="51"/>
      <w:r>
        <w:rPr>
          <w:rFonts w:hint="default" w:ascii="Times New Roman" w:hAnsi="Times New Roman" w:eastAsia="方正小标宋_GBK" w:cs="Times New Roman"/>
          <w:sz w:val="36"/>
          <w:szCs w:val="36"/>
        </w:rPr>
        <w:t>高地</w:t>
      </w:r>
      <w:bookmarkEnd w:id="52"/>
    </w:p>
    <w:p w14:paraId="173EB47A">
      <w:pPr>
        <w:pStyle w:val="47"/>
        <w:keepNext w:val="0"/>
        <w:keepLines w:val="0"/>
        <w:overflowPunct w:val="0"/>
        <w:spacing w:line="560" w:lineRule="exact"/>
        <w:rPr>
          <w:rFonts w:hint="default" w:ascii="Times New Roman" w:hAnsi="Times New Roman" w:eastAsia="方正小标宋_GBK" w:cs="Times New Roman"/>
          <w:sz w:val="36"/>
          <w:szCs w:val="36"/>
        </w:rPr>
      </w:pPr>
    </w:p>
    <w:p w14:paraId="6DE39A49">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把科技创新作为高质量发展的核心引擎，提升全区创新体系整体效能，加快发展新质生产力，推动科技创新与产业创新深度融合。到“十五五”末，全社会研发投入强度达到3.2%以上，高新技术产业产值占规上工业总产值比重达到60%左右。</w:t>
      </w:r>
    </w:p>
    <w:p w14:paraId="652D415E">
      <w:pPr>
        <w:pStyle w:val="45"/>
        <w:overflowPunct w:val="0"/>
        <w:spacing w:before="312" w:beforeLines="100" w:after="312" w:afterLines="100"/>
        <w:rPr>
          <w:rFonts w:hint="default" w:ascii="Times New Roman" w:hAnsi="Times New Roman" w:eastAsia="方正黑体简体" w:cs="Times New Roman"/>
        </w:rPr>
      </w:pPr>
      <w:bookmarkStart w:id="53" w:name="_Toc213323344"/>
      <w:bookmarkStart w:id="54" w:name="_Toc20013"/>
      <w:bookmarkStart w:id="55" w:name="_Toc13683"/>
      <w:r>
        <w:rPr>
          <w:rFonts w:hint="default" w:ascii="Times New Roman" w:hAnsi="Times New Roman" w:eastAsia="方正黑体简体" w:cs="Times New Roman"/>
        </w:rPr>
        <w:t>第一章  夯实企业创新主体地位</w:t>
      </w:r>
      <w:bookmarkEnd w:id="53"/>
      <w:bookmarkEnd w:id="54"/>
      <w:bookmarkEnd w:id="55"/>
    </w:p>
    <w:p w14:paraId="2219E8A2">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强化企业创新主体地位，推动以企业为主导的产学研深度融合，推进产业链上下游协同配合，精准引导各类创新要素向企业加速集聚。</w:t>
      </w:r>
    </w:p>
    <w:p w14:paraId="3DC936FC">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56" w:name="_Toc31030"/>
      <w:r>
        <w:rPr>
          <w:rFonts w:hint="default" w:ascii="Times New Roman" w:hAnsi="Times New Roman" w:eastAsia="方正楷体简体" w:cs="Times New Roman"/>
          <w:bCs/>
        </w:rPr>
        <w:t>第一节  打造高水平科技企业</w:t>
      </w:r>
      <w:bookmarkEnd w:id="56"/>
    </w:p>
    <w:p w14:paraId="1092DD9A">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按照科技型中小企业、高新技术企业、科技领军企业的梯度成长体系，分层分类培育科技创新主体。鼓励科技型骨干企业及高层次人才通过业务裂变、产业孵化、投资布局等方式创办新企业，力争科技型中小企业数量达到400家。实施高新技术企业倍增计划，完善遴选发现和培育壮大机制，支持企业在细分领域深耕，加快“高新企业规模化、规上企业高新化”，力争高新技术企业数量达到360家。支持科技领军企业牵头或参与国家及省级重大科技任务，每年推动实施10项重大科技项目。鼓励企业参与国际科技合作，积极吸收全球创新资源，提升自主创新能力。</w:t>
      </w:r>
    </w:p>
    <w:p w14:paraId="29BCB5E9">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57" w:name="_Toc11814"/>
      <w:r>
        <w:rPr>
          <w:rFonts w:hint="default" w:ascii="Times New Roman" w:hAnsi="Times New Roman" w:eastAsia="方正楷体简体" w:cs="Times New Roman"/>
          <w:bCs/>
        </w:rPr>
        <w:t>第二节  加快产业链科技赋能</w:t>
      </w:r>
      <w:bookmarkEnd w:id="57"/>
    </w:p>
    <w:p w14:paraId="546E7C85">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围绕产业链部署创新链，围绕创新链布局产业链，搭建产业链科创服务平台，系统建设“人才库、基金库、项目库”，支持14条标志性产业链“链主”企业牵头组建体系化、任务型创新联合体。聚焦新材料、智慧农机、工业母机、新能源、生物医药等重点产业领域，集中突破15项以上关键技术，取得10项以上重大科技成果。夯实标准支撑体系，围绕新能源、橡胶制品、造纸包装、高端装备等核心产业链，深入开展质量强区建设，实施标准化引领战略，推进全域标准化工作，助推重点产业关键核心技术攻关和标准研制应用。</w:t>
      </w:r>
    </w:p>
    <w:p w14:paraId="2263F244">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58" w:name="_Toc6940"/>
      <w:r>
        <w:rPr>
          <w:rFonts w:hint="default" w:ascii="Times New Roman" w:hAnsi="Times New Roman" w:eastAsia="方正楷体简体" w:cs="Times New Roman"/>
          <w:bCs/>
        </w:rPr>
        <w:t>第三节  促进产学研融通创新</w:t>
      </w:r>
      <w:bookmarkEnd w:id="58"/>
    </w:p>
    <w:p w14:paraId="24B1680E">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积极融入山东科技大市场，建立高校院所科研成果与企业技术需求“两张清单”，每年争取促成20项以上产学研合作，转化落地10项以上科技成果。支持企业深化与中国科学院、清华大学、西安交通大学、华南理工大学、山东大学等高校院所的战略合作，共建一批产业研究院、技术创新研究院和大学科技园。实施西安交通大学国家大学科技园（兖州）项目，强化创新孵化、人才引育、成果转化、创投服务等功能，推行“双飞地”合作模式。“十五五”期间，落地科技项目40个以上，孵化科技企业25家以上。</w:t>
      </w:r>
    </w:p>
    <w:p w14:paraId="518F1DCD">
      <w:pPr>
        <w:overflowPunct w:val="0"/>
        <w:ind w:firstLine="640"/>
        <w:rPr>
          <w:rFonts w:hint="default" w:ascii="Times New Roman" w:hAnsi="Times New Roman" w:cs="Times New Roman"/>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584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tcPr>
          <w:p w14:paraId="6F0698A4">
            <w:pPr>
              <w:keepNext w:val="0"/>
              <w:keepLines w:val="0"/>
              <w:pageBreakBefore w:val="0"/>
              <w:widowControl w:val="0"/>
              <w:kinsoku/>
              <w:wordWrap/>
              <w:overflowPunct w:val="0"/>
              <w:topLinePunct w:val="0"/>
              <w:autoSpaceDE/>
              <w:autoSpaceDN/>
              <w:bidi w:val="0"/>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专栏9：重大科技项目</w:t>
            </w:r>
          </w:p>
          <w:p w14:paraId="4D1A5A85">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通力轮胎高导热高耐磨轮胎新材料研发与产业化项目</w:t>
            </w:r>
          </w:p>
          <w:p w14:paraId="37CB5CA7">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神州轮胎基于双峰丁苯橡胶/氢化树脂的高性能轮胎研制及产业化项目</w:t>
            </w:r>
          </w:p>
          <w:p w14:paraId="759D8DDA">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太阳纸业高性能纸基阻隔包装材料关键技术与产业化项目</w:t>
            </w:r>
          </w:p>
          <w:p w14:paraId="06DE194E">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金大丰大喂入量多作物联合收获机工程化攻关项目</w:t>
            </w:r>
          </w:p>
          <w:p w14:paraId="2C19A912">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经典集团大型钢结构数字建造与运维技术及应用示范项目</w:t>
            </w:r>
          </w:p>
          <w:p w14:paraId="76614F02">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天意机械模块集成建筑柔性化制造装备关键技术研究与应用项目</w:t>
            </w:r>
          </w:p>
          <w:p w14:paraId="79DC068A">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蒂德精机高效高精重型龙门镗铣加工中心研发及产业化项目</w:t>
            </w:r>
          </w:p>
          <w:p w14:paraId="0F38375D">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芯诺电子基于双面散热CLM封装的高性能电机驱动模块研发与产业化项目</w:t>
            </w:r>
          </w:p>
          <w:p w14:paraId="0C1AC13E">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神州医药基于连续法制备复杂注射剂脂质体药物关键技术与代表性典型性抗真菌两性霉素B制剂研发与产业化项目</w:t>
            </w:r>
          </w:p>
          <w:p w14:paraId="6BC5F948">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30"/>
                <w:szCs w:val="30"/>
              </w:rPr>
              <w:t>鲁南院鲁西中生代岩浆过程对金稀土成矿控制及智能找矿技术与应用示范项目</w:t>
            </w:r>
          </w:p>
        </w:tc>
      </w:tr>
    </w:tbl>
    <w:p w14:paraId="5B04089F">
      <w:pPr>
        <w:pStyle w:val="45"/>
        <w:keepNext w:val="0"/>
        <w:keepLines w:val="0"/>
        <w:pageBreakBefore w:val="0"/>
        <w:widowControl w:val="0"/>
        <w:kinsoku/>
        <w:wordWrap/>
        <w:overflowPunct w:val="0"/>
        <w:topLinePunct w:val="0"/>
        <w:autoSpaceDE/>
        <w:autoSpaceDN/>
        <w:bidi w:val="0"/>
        <w:adjustRightInd/>
        <w:snapToGrid/>
        <w:spacing w:before="0" w:after="0" w:line="280" w:lineRule="exact"/>
        <w:textAlignment w:val="auto"/>
        <w:rPr>
          <w:rFonts w:hint="default" w:ascii="Times New Roman" w:hAnsi="Times New Roman" w:eastAsia="方正黑体简体" w:cs="Times New Roman"/>
        </w:rPr>
      </w:pPr>
      <w:bookmarkStart w:id="59" w:name="_Toc6857"/>
      <w:bookmarkStart w:id="60" w:name="_Toc19351"/>
    </w:p>
    <w:p w14:paraId="0C878FBB">
      <w:pPr>
        <w:pStyle w:val="45"/>
        <w:overflowPunct w:val="0"/>
        <w:spacing w:before="312" w:beforeLines="100" w:after="312" w:afterLines="100"/>
        <w:rPr>
          <w:rFonts w:hint="default" w:ascii="Times New Roman" w:hAnsi="Times New Roman" w:eastAsia="方正黑体简体" w:cs="Times New Roman"/>
        </w:rPr>
      </w:pPr>
      <w:r>
        <w:rPr>
          <w:rFonts w:hint="default" w:ascii="Times New Roman" w:hAnsi="Times New Roman" w:eastAsia="方正黑体简体" w:cs="Times New Roman"/>
        </w:rPr>
        <w:t xml:space="preserve">第二章  </w:t>
      </w:r>
      <w:bookmarkEnd w:id="59"/>
      <w:r>
        <w:rPr>
          <w:rFonts w:hint="default" w:ascii="Times New Roman" w:hAnsi="Times New Roman" w:eastAsia="方正黑体简体" w:cs="Times New Roman"/>
        </w:rPr>
        <w:t>打造高能级创新策源地</w:t>
      </w:r>
      <w:bookmarkEnd w:id="60"/>
    </w:p>
    <w:p w14:paraId="55C96EE6">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发挥创新平台作为集聚创新要素、开展技术创新、驱动产业升级的重要载体功能，统筹推进企业高能级平台与区域公共服务平台协同建设，全面提升创新平台的成果产出与转化效能。</w:t>
      </w:r>
    </w:p>
    <w:p w14:paraId="3B9ED34D">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61" w:name="_Toc17411"/>
      <w:r>
        <w:rPr>
          <w:rFonts w:hint="default" w:ascii="Times New Roman" w:hAnsi="Times New Roman" w:eastAsia="方正楷体简体" w:cs="Times New Roman"/>
          <w:bCs/>
        </w:rPr>
        <w:t>第一节  布局产业导向高能级平台</w:t>
      </w:r>
      <w:bookmarkEnd w:id="61"/>
    </w:p>
    <w:p w14:paraId="12DCC9CE">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突出产业需求导向，强化顶层设计，持续优化高能级创新平台体系。重点围绕标志性产业链、新兴产业和未来产业发展需求，支持龙头企业牵头建设国家级、省级重点实验室、技术创新中心、制造业创新中心、产业创新中心等高能级创新平台，开展关键核心技术研发攻关，承担重大专项。力争每年新增省级以上创新平台10家，到“十五五”末，全区各类创新平台总量突破400家。</w:t>
      </w:r>
    </w:p>
    <w:p w14:paraId="7AFB9F99">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62" w:name="_Toc11604"/>
      <w:r>
        <w:rPr>
          <w:rFonts w:hint="default" w:ascii="Times New Roman" w:hAnsi="Times New Roman" w:eastAsia="方正楷体简体" w:cs="Times New Roman"/>
          <w:bCs/>
        </w:rPr>
        <w:t>第二节  建设区域公共创新服务平台</w:t>
      </w:r>
      <w:bookmarkEnd w:id="62"/>
    </w:p>
    <w:p w14:paraId="5A5E1982">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支持西安交大国家大学科技园兖州分园、济宁未来先进材料与技术创新研究院建设概念验证中心、科技成果转化中试平台和技术经纪人培训基地，为企业提供验证分析、二次开发、技术熟化、人才培训等一站式服务，打造集技术研发、成果转化、企业孵化和人才培育于一体的综合型创新载体。支持平台建立“企业技术需求直通车”机制，线上线下联动收集企业技术痛点，构建“需求清单—技术匹配—联合攻关—成果转化”闭环服务模式，打通“概念验证—中试熟化—产业化应用”全链条，畅通从实验室到生产线的转化路径。</w:t>
      </w:r>
    </w:p>
    <w:p w14:paraId="25AF43F9">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63" w:name="_Toc26898"/>
      <w:r>
        <w:rPr>
          <w:rFonts w:hint="default" w:ascii="Times New Roman" w:hAnsi="Times New Roman" w:eastAsia="方正楷体简体" w:cs="Times New Roman"/>
          <w:bCs/>
        </w:rPr>
        <w:t>第三节  提升创新平台运行效能</w:t>
      </w:r>
      <w:bookmarkEnd w:id="63"/>
    </w:p>
    <w:p w14:paraId="71D98790">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发挥高能级创新平台虹吸效应，精准配置各类创新资源，引导企业依托平台开展核心技术攻关，破解一批“卡脖子”技术难题，储备一批重大前沿技术，产出一批高水平原创成果。完善创新平台绩效评价、动态调整和科研项目组织机制，支持平台打造“共享实验室”，面向产业链上下游企业开放共享科研仪器与技术资源，建设一批标杆平台。</w:t>
      </w:r>
    </w:p>
    <w:p w14:paraId="6007D866">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102E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tcPr>
          <w:p w14:paraId="2B362DA3">
            <w:pPr>
              <w:keepNext w:val="0"/>
              <w:keepLines w:val="0"/>
              <w:pageBreakBefore w:val="0"/>
              <w:widowControl w:val="0"/>
              <w:kinsoku/>
              <w:wordWrap/>
              <w:overflowPunct w:val="0"/>
              <w:topLinePunct w:val="0"/>
              <w:autoSpaceDE/>
              <w:autoSpaceDN/>
              <w:bidi w:val="0"/>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专栏10：重大科技创新平台</w:t>
            </w:r>
          </w:p>
          <w:p w14:paraId="0807E301">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color w:val="000000"/>
                <w:kern w:val="0"/>
                <w:sz w:val="30"/>
                <w:szCs w:val="30"/>
              </w:rPr>
            </w:pPr>
            <w:r>
              <w:rPr>
                <w:rFonts w:hint="default" w:ascii="Times New Roman" w:hAnsi="Times New Roman" w:eastAsia="方正仿宋简体" w:cs="Times New Roman"/>
                <w:kern w:val="0"/>
                <w:sz w:val="30"/>
                <w:szCs w:val="30"/>
              </w:rPr>
              <w:t>兖州工业</w:t>
            </w:r>
            <w:r>
              <w:rPr>
                <w:rFonts w:hint="default" w:ascii="Times New Roman" w:hAnsi="Times New Roman" w:eastAsia="方正仿宋简体" w:cs="Times New Roman"/>
                <w:color w:val="000000"/>
                <w:kern w:val="0"/>
                <w:sz w:val="30"/>
                <w:szCs w:val="30"/>
              </w:rPr>
              <w:t>园区创建“标准级”科技企业孵化器</w:t>
            </w:r>
          </w:p>
          <w:p w14:paraId="18B21DF4">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color w:val="000000"/>
                <w:kern w:val="0"/>
                <w:sz w:val="30"/>
                <w:szCs w:val="30"/>
              </w:rPr>
            </w:pPr>
            <w:r>
              <w:rPr>
                <w:rFonts w:hint="default" w:ascii="Times New Roman" w:hAnsi="Times New Roman" w:eastAsia="方正仿宋简体" w:cs="Times New Roman"/>
                <w:color w:val="000000"/>
                <w:kern w:val="0"/>
                <w:sz w:val="30"/>
                <w:szCs w:val="30"/>
              </w:rPr>
              <w:t>兖州高新区创建省级科技企业孵化器</w:t>
            </w:r>
          </w:p>
          <w:p w14:paraId="07866DEC">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color w:val="000000"/>
                <w:kern w:val="0"/>
                <w:sz w:val="30"/>
                <w:szCs w:val="30"/>
              </w:rPr>
              <w:t>西安交通大学国家大学科技园（兖州）创建省级科技企</w:t>
            </w:r>
            <w:r>
              <w:rPr>
                <w:rFonts w:hint="default" w:ascii="Times New Roman" w:hAnsi="Times New Roman" w:eastAsia="方正仿宋简体" w:cs="Times New Roman"/>
                <w:kern w:val="0"/>
                <w:sz w:val="30"/>
                <w:szCs w:val="30"/>
              </w:rPr>
              <w:t>业孵化器</w:t>
            </w:r>
          </w:p>
          <w:p w14:paraId="7AF43339">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济宁未来先进材料与技术创新研究院</w:t>
            </w:r>
          </w:p>
          <w:p w14:paraId="3C0702F9">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华勤橡胶科技中心暨倍耐力亚太区研发创新中心</w:t>
            </w:r>
          </w:p>
          <w:p w14:paraId="1C5D56ED">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通力轮胎橡胶基高性能复合材料与先进制造重点实验室</w:t>
            </w:r>
          </w:p>
          <w:p w14:paraId="64030B91">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太阳纸业生物基材料技术创新中心</w:t>
            </w:r>
          </w:p>
          <w:p w14:paraId="40A2FC1B">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金大丰多功能高效智能联合收获装备技术创新中心</w:t>
            </w:r>
          </w:p>
          <w:p w14:paraId="60AED3EF">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鲁南院地热清洁能源重点实验室</w:t>
            </w:r>
          </w:p>
          <w:p w14:paraId="53ACB11C">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经典重工钢结构建筑数字建造与智能运维技术创新中心</w:t>
            </w:r>
          </w:p>
          <w:p w14:paraId="0A7E4FFD">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天意机械智能建造装备技术创新中心</w:t>
            </w:r>
          </w:p>
          <w:p w14:paraId="52BB3D7D">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易君科技研发中心项目</w:t>
            </w:r>
          </w:p>
          <w:p w14:paraId="781A2AA2">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山东省高性能橡胶及制品中试示范基地</w:t>
            </w:r>
          </w:p>
          <w:p w14:paraId="5B8EAD7B">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天成万丰年产6万吨阳离子醚化剂配套研发中心项目</w:t>
            </w:r>
          </w:p>
        </w:tc>
      </w:tr>
    </w:tbl>
    <w:p w14:paraId="5B77A307">
      <w:pPr>
        <w:pStyle w:val="45"/>
        <w:keepNext w:val="0"/>
        <w:keepLines w:val="0"/>
        <w:pageBreakBefore w:val="0"/>
        <w:widowControl w:val="0"/>
        <w:kinsoku/>
        <w:wordWrap/>
        <w:overflowPunct w:val="0"/>
        <w:topLinePunct w:val="0"/>
        <w:autoSpaceDE/>
        <w:autoSpaceDN/>
        <w:bidi w:val="0"/>
        <w:adjustRightInd/>
        <w:snapToGrid/>
        <w:spacing w:before="0" w:after="0" w:line="280" w:lineRule="exact"/>
        <w:textAlignment w:val="auto"/>
        <w:rPr>
          <w:rFonts w:hint="default" w:ascii="Times New Roman" w:hAnsi="Times New Roman" w:eastAsia="方正黑体简体" w:cs="Times New Roman"/>
        </w:rPr>
      </w:pPr>
      <w:bookmarkStart w:id="64" w:name="_Toc213323347"/>
      <w:bookmarkStart w:id="65" w:name="_Toc11626"/>
      <w:bookmarkStart w:id="66" w:name="_Toc16503"/>
    </w:p>
    <w:p w14:paraId="0E6891B6">
      <w:pPr>
        <w:pStyle w:val="45"/>
        <w:overflowPunct w:val="0"/>
        <w:spacing w:before="312" w:beforeLines="100" w:after="312" w:afterLines="100"/>
        <w:rPr>
          <w:rFonts w:hint="default" w:ascii="Times New Roman" w:hAnsi="Times New Roman" w:eastAsia="方正黑体简体" w:cs="Times New Roman"/>
        </w:rPr>
      </w:pPr>
      <w:r>
        <w:rPr>
          <w:rFonts w:hint="default" w:ascii="Times New Roman" w:hAnsi="Times New Roman" w:eastAsia="方正黑体简体" w:cs="Times New Roman"/>
        </w:rPr>
        <w:t xml:space="preserve">第三章  </w:t>
      </w:r>
      <w:bookmarkEnd w:id="64"/>
      <w:bookmarkEnd w:id="65"/>
      <w:r>
        <w:rPr>
          <w:rFonts w:hint="default" w:ascii="Times New Roman" w:hAnsi="Times New Roman" w:eastAsia="方正黑体简体" w:cs="Times New Roman"/>
        </w:rPr>
        <w:t>营造活力迸发创新环境</w:t>
      </w:r>
      <w:bookmarkEnd w:id="66"/>
    </w:p>
    <w:p w14:paraId="34D12267">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坚持以体制机制创新为引领，围绕人才引育留用、科创空间布局优化、要素资源高效配置三大方向，构建高效协同、开放包容、充满活力的科技创新运行机制。</w:t>
      </w:r>
    </w:p>
    <w:p w14:paraId="07D56C18">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67" w:name="_Toc1374"/>
      <w:r>
        <w:rPr>
          <w:rFonts w:hint="default" w:ascii="Times New Roman" w:hAnsi="Times New Roman" w:eastAsia="方正楷体简体" w:cs="Times New Roman"/>
          <w:bCs/>
        </w:rPr>
        <w:t>第一节  构建多元人才引育体系</w:t>
      </w:r>
      <w:bookmarkEnd w:id="67"/>
    </w:p>
    <w:p w14:paraId="5326532E">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充分发挥重点人才工程、政策、平台的辐射带动作用，灵活运用“候鸟专家”“周末工程师”等柔性引才机制，面向全球引进具有关键技术、国际视野的领军人才。定期举办产学研对接会、高端人才兖州行等品牌活动，促进企业、人才、技术与资本的高效对接。依托济宁工业技师学院职业教育资源，推行“订单式”培养，鼓励校企共建实训基地、技术技能创新中心，促进教育链、人才链与产业链有机融合。持续增加优质公共服务供给，保障人才在子女教育、医疗健康、住房安居等方面的优厚待遇，力争引育50名以上高层次创新创业人才。</w:t>
      </w:r>
    </w:p>
    <w:p w14:paraId="52C8FD40">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68" w:name="_Toc21653"/>
      <w:r>
        <w:rPr>
          <w:rFonts w:hint="default" w:ascii="Times New Roman" w:hAnsi="Times New Roman" w:eastAsia="方正楷体简体" w:cs="Times New Roman"/>
          <w:bCs/>
        </w:rPr>
        <w:t>第二节  优化科技创新空间布局</w:t>
      </w:r>
      <w:bookmarkEnd w:id="68"/>
    </w:p>
    <w:p w14:paraId="73141F87">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深度对接全市科技创新资源，积极推动构建济宁城东科创大走廊。以西安交大国家大学科技园（兖州）为核心创新策源地，发挥技术输出与人才引进的关键功能，辐射带动周边区域创新资源集聚。支持工业园区、兖州高新区及农高区强化创新型企业培育、完善创新服务体系、集聚高新技术产业，加快打造创新要素密集、产业特色鲜明、辐射带动强劲的区域创新高地。实施产业园区“科技+”行动，重点支持中欧国际数控机床产业园、电子信息产业园、化学助剂产业园以及镇街产业园等载体，开展研发设计、检验检测、创业孵化等创新活动，推动传统产业园区向综合型创新平台转型。</w:t>
      </w:r>
    </w:p>
    <w:p w14:paraId="0D06FDB4">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69" w:name="_Toc20374"/>
      <w:r>
        <w:rPr>
          <w:rFonts w:hint="default" w:ascii="Times New Roman" w:hAnsi="Times New Roman" w:eastAsia="方正楷体简体" w:cs="Times New Roman"/>
          <w:bCs/>
        </w:rPr>
        <w:t>第三节  构建协同高效创新生态</w:t>
      </w:r>
      <w:bookmarkEnd w:id="69"/>
    </w:p>
    <w:p w14:paraId="12DDC437">
      <w:pPr>
        <w:overflowPunct w:val="0"/>
        <w:ind w:firstLine="640"/>
        <w:rPr>
          <w:rFonts w:hint="default" w:ascii="Times New Roman" w:hAnsi="Times New Roman" w:eastAsia="方正仿宋简体" w:cs="Times New Roman"/>
        </w:rPr>
      </w:pPr>
      <w:r>
        <w:rPr>
          <w:rFonts w:hint="default" w:ascii="Times New Roman" w:hAnsi="Times New Roman" w:eastAsia="方正仿宋简体" w:cs="Times New Roman"/>
        </w:rPr>
        <w:t>强化科技创新要素服务保障，推动实现信息共享、政策协同与资源统筹，营造“企业安心、人才舒心、科研顺心、投资放心、服务暖心”的创新环境。建立科技政策集成发布机制，推广企业创新积分制，构建多层次科技金融支持体系，创新“股权+保险+信贷”联动服务模式，每年为企业注入2亿元以上科技资金。引导资本投向早期、小型、长期及硬科技项目，发挥政府投资基金带动作用，吸引天使、种子、创投及产投基金落地集聚。鼓励行业协会、科研机构、高校及社会资本等多元力量深度参与科技创新全过程，形成“政府搭台、企业主导、社会协同”的创新生态，加快构建具有兖州特色的开放型创新体系。</w:t>
      </w:r>
    </w:p>
    <w:p w14:paraId="4EB72BA1">
      <w:pPr>
        <w:overflowPunct w:val="0"/>
        <w:ind w:firstLine="640"/>
        <w:rPr>
          <w:rFonts w:hint="default" w:ascii="Times New Roman" w:hAnsi="Times New Roman" w:eastAsia="方正仿宋简体" w:cs="Times New Roman"/>
        </w:rPr>
        <w:sectPr>
          <w:pgSz w:w="11906" w:h="16838"/>
          <w:pgMar w:top="2155" w:right="1588" w:bottom="1304" w:left="1588" w:header="1361" w:footer="1418" w:gutter="0"/>
          <w:cols w:space="425" w:num="1"/>
          <w:docGrid w:type="linesAndChars" w:linePitch="312" w:charSpace="0"/>
        </w:sectPr>
      </w:pPr>
    </w:p>
    <w:p w14:paraId="4765C861">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pacing w:val="0"/>
          <w:sz w:val="36"/>
          <w:szCs w:val="36"/>
        </w:rPr>
      </w:pPr>
      <w:bookmarkStart w:id="70" w:name="_Toc31640"/>
    </w:p>
    <w:p w14:paraId="5D18DAA3">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pacing w:val="0"/>
          <w:sz w:val="36"/>
          <w:szCs w:val="36"/>
        </w:rPr>
      </w:pPr>
      <w:bookmarkStart w:id="71" w:name="_Toc7505"/>
      <w:r>
        <w:rPr>
          <w:rFonts w:hint="default" w:ascii="Times New Roman" w:hAnsi="Times New Roman" w:eastAsia="方正小标宋_GBK" w:cs="Times New Roman"/>
          <w:spacing w:val="0"/>
          <w:sz w:val="36"/>
          <w:szCs w:val="36"/>
        </w:rPr>
        <w:t>第五篇  加快释放内需潜力，持续增强发展新</w:t>
      </w:r>
      <w:bookmarkEnd w:id="70"/>
      <w:r>
        <w:rPr>
          <w:rFonts w:hint="default" w:ascii="Times New Roman" w:hAnsi="Times New Roman" w:eastAsia="方正小标宋_GBK" w:cs="Times New Roman"/>
          <w:spacing w:val="0"/>
          <w:sz w:val="36"/>
          <w:szCs w:val="36"/>
        </w:rPr>
        <w:t>活力</w:t>
      </w:r>
      <w:bookmarkEnd w:id="71"/>
    </w:p>
    <w:p w14:paraId="26B3DB31">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pacing w:val="0"/>
          <w:sz w:val="36"/>
          <w:szCs w:val="36"/>
        </w:rPr>
      </w:pPr>
    </w:p>
    <w:p w14:paraId="68CE7CC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立足扩大内需战略基点，把提振消费摆在优先位置，充分发挥有效投资的关键作用，畅通经济循环，增强内生动力，形成消费与投资相互促进、良性互动的发展新局面，为兖州高质量发展提供坚实支撑。</w:t>
      </w:r>
    </w:p>
    <w:p w14:paraId="718310A9">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spacing w:val="0"/>
        </w:rPr>
      </w:pPr>
      <w:bookmarkStart w:id="72" w:name="_Toc28813"/>
      <w:bookmarkStart w:id="73" w:name="_Toc19931"/>
      <w:r>
        <w:rPr>
          <w:rFonts w:hint="default" w:ascii="Times New Roman" w:hAnsi="Times New Roman" w:eastAsia="方正黑体简体" w:cs="Times New Roman"/>
          <w:spacing w:val="0"/>
        </w:rPr>
        <w:t>第一章  大力提振消费</w:t>
      </w:r>
      <w:bookmarkEnd w:id="72"/>
      <w:bookmarkEnd w:id="73"/>
    </w:p>
    <w:p w14:paraId="280B12A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深入实施提振消费专项行动，扩大优质消费品和服务供给，进一步打造消费新场景、拓展消费新体验、激发消费新需求，充分发挥消费对经济发展的带动作用。</w:t>
      </w:r>
    </w:p>
    <w:p w14:paraId="7F534AD8">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spacing w:val="0"/>
        </w:rPr>
      </w:pPr>
      <w:bookmarkStart w:id="74" w:name="_Toc11584"/>
      <w:r>
        <w:rPr>
          <w:rFonts w:hint="default" w:ascii="Times New Roman" w:hAnsi="Times New Roman" w:eastAsia="方正楷体简体" w:cs="Times New Roman"/>
          <w:bCs/>
          <w:spacing w:val="0"/>
        </w:rPr>
        <w:t>第一节  升级消费载体</w:t>
      </w:r>
      <w:bookmarkEnd w:id="74"/>
    </w:p>
    <w:p w14:paraId="57AFBDC6">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发展高品质生活性服务业，完善活力商圈布局，巩固提升中御桥路九州广场商圈、龙桥路贵和大润发商圈、新百汇及财富广场商圈等设施配套，规划建设西浦路机场高铁、宁安大道山东时代等新兴商圈。布局2-3个高品质商贸综合体项目及智慧型农贸市场，建设3-5家高端餐饮住宿项目。丰富兴隆文化园、牛楼小镇、狄家街、端信里、繁华里等特色街区消费场景。加强对批发、零售、住宿、餐饮等行业企业政策指导，支持百意、龙贵、富都等企业数字化转型，推出一批智慧超市、智慧商店、智慧餐厅等新业态，全面提振千店万铺发展活力，激发商贸流通内生动力。“十五五”期间，全区社会消费品零售总额年均增长7%左右，到2030年突破400亿元。</w:t>
      </w:r>
    </w:p>
    <w:p w14:paraId="167E7EAA">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spacing w:val="0"/>
        </w:rPr>
      </w:pPr>
      <w:bookmarkStart w:id="75" w:name="_Toc16760"/>
      <w:r>
        <w:rPr>
          <w:rFonts w:hint="default" w:ascii="Times New Roman" w:hAnsi="Times New Roman" w:eastAsia="方正楷体简体" w:cs="Times New Roman"/>
          <w:bCs/>
          <w:spacing w:val="0"/>
        </w:rPr>
        <w:t>第二节  培育消费热点</w:t>
      </w:r>
      <w:bookmarkEnd w:id="75"/>
    </w:p>
    <w:p w14:paraId="0307141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6"/>
          <w:sz w:val="32"/>
        </w:rPr>
      </w:pPr>
      <w:r>
        <w:rPr>
          <w:rFonts w:hint="default" w:ascii="Times New Roman" w:hAnsi="Times New Roman" w:eastAsia="方正仿宋简体" w:cs="Times New Roman"/>
          <w:spacing w:val="0"/>
          <w:sz w:val="32"/>
        </w:rPr>
        <w:t>做强节庆经济品牌，持续放大牛楼小镇、兴隆文化园、运河</w:t>
      </w:r>
      <w:r>
        <w:rPr>
          <w:rFonts w:hint="default" w:ascii="Times New Roman" w:hAnsi="Times New Roman" w:eastAsia="方正仿宋简体" w:cs="Times New Roman"/>
          <w:spacing w:val="6"/>
          <w:sz w:val="32"/>
        </w:rPr>
        <w:t>之都啤酒节、端信里汉唐文化街等品牌效应，丰富情绪消费与内容消费供给。通过举办运河大集、文化展演及“迎春”“盛夏”“金秋”“暖冬”等一系列主题促销活动，打造富有文化感染力与市场吸引力的消费热点。深化文旅商融合，依托花海彩田等资源，植入“星星夜市”“非遗花火会”“篝火音乐节”等互动项目，串联兖州博物馆、泗河文化景观带、花卉产业基地等节点，打造融合场景消费体验的产业观光路线，培育文旅消费新地标。推动功能消费提质扩容，鼓励九龙、小米、华为等智能家居企业开展居家安防、健康管理等实用功能展示，支持龙贵、百意等大型商贸综合体优化业态，提升消费体验。积极培育银发经济和绿色汽车消费，发展适配老年人实际需求的康养产品与服务，推动新车、二手车及汽车后市场协同发展，引导绿色低碳消费，逐步构建覆盖多元需求、贯穿全场景的现代消费生态体系。</w:t>
      </w:r>
    </w:p>
    <w:p w14:paraId="1C43A5AD">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spacing w:val="0"/>
        </w:rPr>
      </w:pPr>
      <w:bookmarkStart w:id="76" w:name="_Toc7495"/>
      <w:r>
        <w:rPr>
          <w:rFonts w:hint="default" w:ascii="Times New Roman" w:hAnsi="Times New Roman" w:eastAsia="方正楷体简体" w:cs="Times New Roman"/>
          <w:bCs/>
          <w:spacing w:val="0"/>
        </w:rPr>
        <w:t>第三节  激发消费潜力</w:t>
      </w:r>
      <w:bookmarkEnd w:id="76"/>
    </w:p>
    <w:p w14:paraId="748278E6">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积极发展首发经济、首店经济，丰富消费产品供给品类，鼓励企业通过技术创新和新业态新模式发展，着力满足居民个性化、品质化消费需求。大力发展免税经济、云端经济、赛事经济、网红经济、高铁机场经济，创造多元化消费场景，提升城市消费活力。全面落实消费品“以旧换新”政策，完善消费券发放与使用机制，加大对住房、汽车、家电等重点领域消费的支持力度，有效激发居民消费意愿。促进农村吃穿用住行等一般消费提质扩容，鼓励家电、家居、文化产品下乡，稳步扩大农村消费市场。强化金融对居民消费的支持，合理优化小额消费信贷，引导金融机构加大对住宿餐饮、文化旅游、养老托育等行业的支持力度。建立健全产品质量监管体系，完善消费者权益保护制度，持续优化提升消费环境。</w:t>
      </w:r>
    </w:p>
    <w:p w14:paraId="2E845840">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spacing w:val="0"/>
        </w:rPr>
      </w:pPr>
      <w:bookmarkStart w:id="77" w:name="_Toc24098"/>
      <w:bookmarkStart w:id="78" w:name="_Toc29029"/>
      <w:r>
        <w:rPr>
          <w:rFonts w:hint="default" w:ascii="Times New Roman" w:hAnsi="Times New Roman" w:eastAsia="方正黑体简体" w:cs="Times New Roman"/>
          <w:spacing w:val="0"/>
        </w:rPr>
        <w:t>第二章  扩大有效投资</w:t>
      </w:r>
      <w:bookmarkEnd w:id="77"/>
      <w:bookmarkEnd w:id="78"/>
    </w:p>
    <w:p w14:paraId="72905CE6">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坚持把有效投资作为拉动经济增长的关键引擎，围绕产业结构升级，统筹政府与市场力量，保障重大项目落地，为全区高质量发展注入强劲动力。“十五五”期间，固定资产投资年均增长8%，累计投资额达到1600亿元以上，每年滚动实施省市区三级重点项目100个左右。</w:t>
      </w:r>
    </w:p>
    <w:p w14:paraId="1D27833D">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spacing w:val="0"/>
        </w:rPr>
      </w:pPr>
      <w:bookmarkStart w:id="79" w:name="_Toc27549"/>
      <w:r>
        <w:rPr>
          <w:rFonts w:hint="default" w:ascii="Times New Roman" w:hAnsi="Times New Roman" w:eastAsia="方正楷体简体" w:cs="Times New Roman"/>
          <w:bCs/>
          <w:spacing w:val="0"/>
        </w:rPr>
        <w:t>第一节  大力实施精准招商</w:t>
      </w:r>
      <w:bookmarkEnd w:id="79"/>
    </w:p>
    <w:p w14:paraId="7D186B0C">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坚持“产业链招商、以企招商、基金招商、以商引商”，把招商引资作为“一把手”工程，推动招商引资与产业链延伸、园区能级提升深度融合，围绕新能源、造纸包装、橡胶轮胎、高端装备等重点产业，实施补链强链行动，提升产业链稳定性和竞争力。力争到“十五五”末，全区新签约亿元以上项目150个，每年落地建设30个，完成项目有效投资500亿元。构建“区级统筹—部门协同—园区落实—镇街配合”四级招商网络，积极探索委托招商、资本招商、数字化招商等新模式，完善全流程服务体系，促进项目集聚发展，全面提升招商引资质效。</w:t>
      </w:r>
    </w:p>
    <w:p w14:paraId="16EF06BA">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spacing w:val="0"/>
        </w:rPr>
      </w:pPr>
      <w:bookmarkStart w:id="80" w:name="_Toc20907"/>
      <w:r>
        <w:rPr>
          <w:rFonts w:hint="default" w:ascii="Times New Roman" w:hAnsi="Times New Roman" w:eastAsia="方正楷体简体" w:cs="Times New Roman"/>
          <w:bCs/>
          <w:spacing w:val="0"/>
        </w:rPr>
        <w:t>第二节  发挥投资带动作用</w:t>
      </w:r>
      <w:bookmarkEnd w:id="80"/>
    </w:p>
    <w:p w14:paraId="1E1E69CE">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聚焦基础设施、改善民生、生态环保、社会管理等重点领域，健全项目投资决策机制，滚动实施一批补短板、强弱项、利长远的重大项目。精准对接中央预算内投资、超长期特别国债、地方政府专项债等政策资金，建立动态项目储备库，全力争取国家和省市资金支持。加强全周期资金和项目监督管理，完善动态调整和后评价机制。提升项目实施质效。科学编制政府投资年度计划，强化计划执行跟踪监测。聚焦主导产业、城乡融合、民生短板、小城镇基础设施等领域，实施一批强基础、育动能、惠民生的项目，形成城镇联动、政企协同的投资合力。</w:t>
      </w:r>
    </w:p>
    <w:p w14:paraId="6BBCC76A">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spacing w:val="0"/>
        </w:rPr>
      </w:pPr>
      <w:bookmarkStart w:id="81" w:name="_Toc14351"/>
      <w:r>
        <w:rPr>
          <w:rFonts w:hint="default" w:ascii="Times New Roman" w:hAnsi="Times New Roman" w:eastAsia="方正楷体简体" w:cs="Times New Roman"/>
          <w:bCs/>
          <w:spacing w:val="0"/>
        </w:rPr>
        <w:t>第三节  激发民间投资活力</w:t>
      </w:r>
      <w:bookmarkEnd w:id="81"/>
    </w:p>
    <w:p w14:paraId="2FC71D5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0"/>
        </w:rPr>
      </w:pPr>
      <w:r>
        <w:rPr>
          <w:rFonts w:hint="default" w:ascii="Times New Roman" w:hAnsi="Times New Roman" w:eastAsia="方正仿宋简体" w:cs="Times New Roman"/>
          <w:spacing w:val="0"/>
        </w:rPr>
        <w:t>全面实施市场准入负面清单，推动基础设施等领域公平向民营资本开放。建立重点民间投资项目库，每年实施不少于100个重点民间投资项目，滚动向民间资本推介优质项目，引导民营企业加大先进制造业、科技创新、工业技改等领域投资，力争每年实施工业新上和技改项目100个左右。鼓励民间资本参与新型基础设施、新型城镇化、乡村振兴及交通能源等重点工程和补短板领域建设。鼓励银行业和保险机构创新产品和服务，加大对科技创新、绿色低碳、产业基础再造等领域民营企业的支持力度，切实降低融资成本。深化政企合作，积极推广政府和社会资本合作新机制，支持民间资本参与存量资产盘活。推动符合条件的项目发行基础设施领域不动产投资信托基金（REITs），持续拓宽民间投资渠道与空间。</w:t>
      </w:r>
    </w:p>
    <w:p w14:paraId="3B1C666E">
      <w:pPr>
        <w:overflowPunct w:val="0"/>
        <w:spacing w:line="536" w:lineRule="exact"/>
        <w:ind w:firstLine="640"/>
        <w:rPr>
          <w:rFonts w:hint="default" w:ascii="Times New Roman" w:hAnsi="Times New Roman" w:eastAsia="方正仿宋简体" w:cs="Times New Roman"/>
        </w:rPr>
        <w:sectPr>
          <w:pgSz w:w="11906" w:h="16838"/>
          <w:pgMar w:top="2155" w:right="1588" w:bottom="1304" w:left="1588" w:header="1361" w:footer="1418" w:gutter="0"/>
          <w:cols w:space="425" w:num="1"/>
          <w:docGrid w:type="linesAndChars" w:linePitch="312" w:charSpace="0"/>
        </w:sectPr>
      </w:pPr>
    </w:p>
    <w:p w14:paraId="6DFB8EB9">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82" w:name="_Toc12081"/>
    </w:p>
    <w:p w14:paraId="2FC64BB2">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83" w:name="_Toc14120"/>
      <w:r>
        <w:rPr>
          <w:rFonts w:hint="default" w:ascii="Times New Roman" w:hAnsi="Times New Roman" w:eastAsia="方正小标宋_GBK" w:cs="Times New Roman"/>
          <w:sz w:val="36"/>
          <w:szCs w:val="36"/>
        </w:rPr>
        <w:t>第六篇  坚持深化改革开放，</w:t>
      </w:r>
      <w:bookmarkEnd w:id="82"/>
      <w:r>
        <w:rPr>
          <w:rFonts w:hint="default" w:ascii="Times New Roman" w:hAnsi="Times New Roman" w:eastAsia="方正小标宋_GBK" w:cs="Times New Roman"/>
          <w:sz w:val="36"/>
          <w:szCs w:val="36"/>
        </w:rPr>
        <w:t>不断增添发展新动能</w:t>
      </w:r>
      <w:bookmarkEnd w:id="83"/>
    </w:p>
    <w:p w14:paraId="1C7CF384">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3E4A6747">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充分发挥经济体制改革的牵引作用，大力推进行政管理、现代市场体系等重点领域和关键环节改革。努力提升开放水平和开放质量，加快发展开放型经济，形成区域内外深度融合、互利合作的新格局。</w:t>
      </w:r>
    </w:p>
    <w:p w14:paraId="47142393">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84" w:name="_Toc12555"/>
      <w:bookmarkStart w:id="85" w:name="_Toc28479"/>
      <w:r>
        <w:rPr>
          <w:rFonts w:hint="default" w:ascii="Times New Roman" w:hAnsi="Times New Roman" w:eastAsia="方正黑体简体" w:cs="Times New Roman"/>
        </w:rPr>
        <w:t>第一章  全面深化重点领域改革</w:t>
      </w:r>
      <w:bookmarkEnd w:id="84"/>
      <w:bookmarkEnd w:id="85"/>
    </w:p>
    <w:p w14:paraId="26C4F75E">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坚持以深化改革破除体制机制障碍，以制度开放拓展发展空间。着力清除市场壁垒，畅通经济循环，营造一流营商环境。推进服务和融入全国统一大市场建设，激发各类经营主体活力。</w:t>
      </w:r>
    </w:p>
    <w:p w14:paraId="7DD859FC">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86" w:name="_Toc585"/>
      <w:r>
        <w:rPr>
          <w:rFonts w:hint="default" w:ascii="Times New Roman" w:hAnsi="Times New Roman" w:eastAsia="方正楷体简体" w:cs="Times New Roman"/>
          <w:bCs/>
        </w:rPr>
        <w:t>第一节  打造一流营商环境</w:t>
      </w:r>
      <w:bookmarkEnd w:id="86"/>
    </w:p>
    <w:p w14:paraId="5F06D7F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纵深推进“高效办成一件事”改革，建立“总体清单+年度清单+特色清单”管理体系，结合区域产业特色和民生热点，探索“高效办成一件事”向“高效办成一类事”拓展，推动“一件事”服务集成化。推进政务服务中心提档升级，完善“1530”（主城区15分钟、乡村30分钟）政务服务圈。推进“一码、一卡、一证、一照”场景创新应用，完善“掌上办”“码上办”“就近办”服务网络，实现线上线下服务深度融合。构建“政企通”平台，健全“企业点单、政府上门”快速响应机制和“助企攀登”长效机制，深化“营商环境体验官制度”，由“政府供给”向“用户需求”转型。加强产权和知识产权保护，加大侵权违法行为惩治力度，激发创新创业动力。大力支持民营经济发展，健全民营企业公平参与市场竞争的保障机制，鼓励民营企业科技创新、智能化转型，助力民营企业主体培育和民营经济产业升级。加强民营企业家队伍建设，引导企业家爱国敬业、守法经营、创新创业、回报社会，在全社会营造尊重企业家、保护企业家合法权益的良好氛围。</w:t>
      </w:r>
    </w:p>
    <w:p w14:paraId="3ABEE4D1">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87" w:name="_Toc17645"/>
      <w:r>
        <w:rPr>
          <w:rFonts w:hint="default" w:ascii="Times New Roman" w:hAnsi="Times New Roman" w:eastAsia="方正楷体简体" w:cs="Times New Roman"/>
          <w:bCs/>
        </w:rPr>
        <w:t>第二节  优化要素配置机制</w:t>
      </w:r>
      <w:bookmarkEnd w:id="87"/>
    </w:p>
    <w:p w14:paraId="124BE376">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6"/>
          <w:sz w:val="32"/>
        </w:rPr>
      </w:pPr>
      <w:r>
        <w:rPr>
          <w:rFonts w:hint="default" w:ascii="Times New Roman" w:hAnsi="Times New Roman" w:eastAsia="方正仿宋简体" w:cs="Times New Roman"/>
          <w:spacing w:val="-6"/>
          <w:sz w:val="32"/>
        </w:rPr>
        <w:t>推动土地、劳动力、资本、技术、数据等要素高效流动和优化配置，加快“标准地”出让改革，优先保障优质项目用地。深化“亩产效益”综合评价改革，落实“增存挂钩”机制，持续推进批而未供和闲置土地处置。支持工业项目“零增地”改造和立体化开发，探索M0新型产业用地模式，推行弹性年期出让等灵活供地方式。“十五五”期间，争取新增建设用地1万亩以上，验收增减挂钩指标 600 亩以上、供地率达到 85%以上。完善人力资源市场体系，促进人才合理流动。培育数据要素市场，加速数据资源开发利用。强化“要素跟着项目走”机制，推进惠企政策“直达快享”，统筹能耗指标、环境容量等资源要素向重点产业倾斜。深化供给侧结构性改革，加快调整存量结构、优化增量投向，推动国资国企布局再聚焦、资源再集中、工作再协同。</w:t>
      </w:r>
    </w:p>
    <w:p w14:paraId="3FD205AB">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88" w:name="_Toc16558"/>
      <w:r>
        <w:rPr>
          <w:rFonts w:hint="default" w:ascii="Times New Roman" w:hAnsi="Times New Roman" w:eastAsia="方正楷体简体" w:cs="Times New Roman"/>
          <w:bCs/>
        </w:rPr>
        <w:t>第三节  服务和融入全国统一大市场</w:t>
      </w:r>
      <w:bookmarkEnd w:id="88"/>
    </w:p>
    <w:p w14:paraId="1E3D1819">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严格执行“全国一张清单”管理模式，深度融入全国市场基础性制度规则体系，切实达成“五统一、一开放”目标，促进商品和要素在区域间自由流动。健全统一规范、信息共享的招标投标和公共资源交易体系，落实公平竞争审查制度，清理妨碍统一市场和公平竞争的政策措施，综合整治“内卷式”竞争。深化信用体系建设，全力打造“信用兖州”。积极融入鲁南经济圈、济宁都市区一体化建设，依托区位和产业优势，强化与京津冀、长三角等国内先进地区的经济联系，承接优质产业转移。推动“兖州制造”深度融入国内产业链供应链，鼓励重点企业参与国内重大工程和项目招投标，畅通国内大循环，在资质认证、标准体系、监管执法等方面主动对标国家标准，促进规则互联、资质互认。</w:t>
      </w:r>
    </w:p>
    <w:p w14:paraId="35F7E7F9">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89" w:name="_Toc29703"/>
      <w:bookmarkStart w:id="90" w:name="_Toc7572"/>
      <w:r>
        <w:rPr>
          <w:rFonts w:hint="default" w:ascii="Times New Roman" w:hAnsi="Times New Roman" w:eastAsia="方正楷体简体" w:cs="Times New Roman"/>
          <w:bCs/>
        </w:rPr>
        <w:t>第四节  深化财税与金融体制改革</w:t>
      </w:r>
      <w:bookmarkEnd w:id="89"/>
      <w:bookmarkEnd w:id="90"/>
    </w:p>
    <w:p w14:paraId="770EBB5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目标和问题导向，提升财税和金融服务高质量发展效能，增强宏观政策协同。全面落实国家税制改革部署，做好政策衔接与征管服务。开展财政科学管理试点，深化零基预算改革，健全支出分类保障机制，加强重大战略任务和基本民生财力保障。完善财政运行风险管控，兜牢“三保”底线，加强预算绩效管理及成果运用。加快融资平台和城投公司市场化转型。积极引进银行、保险、证券、基金等金融机构在我区设立分支机构，进一步丰富金融业态。实施企业上市培育计划，梯次推进重点突破，“十五五”期间，力争实现1-2家企业主板上市。支持企业通过增发、配股、债券等方式直接融资。加强财政金融联动，运用贴息、风险补偿、股权投资等方式赋能实体经济。聚焦金融“五篇大文章”，强化金融供给，提升资源保障能力，畅通政金企对接，打造具有兖州特色的金融服务品牌。</w:t>
      </w:r>
    </w:p>
    <w:p w14:paraId="652AA332">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91" w:name="_Toc17690"/>
      <w:bookmarkStart w:id="92" w:name="_Toc1238"/>
      <w:r>
        <w:rPr>
          <w:rFonts w:hint="default" w:ascii="Times New Roman" w:hAnsi="Times New Roman" w:eastAsia="方正黑体简体" w:cs="Times New Roman"/>
        </w:rPr>
        <w:t xml:space="preserve">第二章  </w:t>
      </w:r>
      <w:bookmarkEnd w:id="91"/>
      <w:r>
        <w:rPr>
          <w:rFonts w:hint="default" w:ascii="Times New Roman" w:hAnsi="Times New Roman" w:eastAsia="方正黑体简体" w:cs="Times New Roman"/>
        </w:rPr>
        <w:t>创新发展对外贸易</w:t>
      </w:r>
      <w:bookmarkEnd w:id="92"/>
    </w:p>
    <w:p w14:paraId="2AC1EA2C">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高端引领、数字赋能、平台支撑、集群发展，推动外贸发展从规模扩张向质量效益提高转变，从产品出海向品牌出海、产业出海升级，以“大开放”促进“大发展”，增强内生动力和辐射带动力，打造鲁西南对外开放新高地。到2030年，全区外贸总额突破400亿元。</w:t>
      </w:r>
    </w:p>
    <w:p w14:paraId="645E8400">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93" w:name="_Toc18910"/>
      <w:r>
        <w:rPr>
          <w:rFonts w:hint="default" w:ascii="Times New Roman" w:hAnsi="Times New Roman" w:eastAsia="方正楷体简体" w:cs="Times New Roman"/>
          <w:bCs/>
        </w:rPr>
        <w:t>第一节  培强外贸企业梯队</w:t>
      </w:r>
      <w:bookmarkEnd w:id="93"/>
    </w:p>
    <w:p w14:paraId="1C48C0E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化与“一带一路”沿线国家和地区合作，拓展与区域全面经济伙伴关系协定（RCEP）成员国地方经济合作，加强市场、规则标准“软联通”。优化货物贸易结构，拓展中间品和绿色贸易，推动进出口平衡发展。做强工程机械、农业机械等省级特色产业带，推动产品高端化、智能化、绿色化转型，打造“兖州机械”国际品牌，实现从产品出口到品牌出海的转变。鼓励纸制品、橡胶制品、新能源电池等优势外贸企业延伸产业链条，扩展对外贸易，夯实外贸增量基础。加大锂电池、光伏“新三样”、机电和高新技术产品出口，扩大先进技术设备与资源能源产品进口，优化进出口商品结构。实施“内贸转外贸”培育计划，建立重点企业库，提供政策咨询、业务申报、跨境电商运营等服务指导，推动内贸企业拓展外贸业务，每年新增外贸实绩企业10家，AEO认证企业达到15家。</w:t>
      </w:r>
    </w:p>
    <w:p w14:paraId="555E8810">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94" w:name="_Toc27719"/>
      <w:r>
        <w:rPr>
          <w:rFonts w:hint="default" w:ascii="Times New Roman" w:hAnsi="Times New Roman" w:eastAsia="方正楷体简体" w:cs="Times New Roman"/>
          <w:bCs/>
        </w:rPr>
        <w:t>第二节  大力发展数字贸易</w:t>
      </w:r>
      <w:bookmarkEnd w:id="94"/>
    </w:p>
    <w:p w14:paraId="30E6D98C">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依托电子商务产业园，推动电子商务与本地特色产业深度融合，构建覆盖全球、便捷高效的电商服务生态。支持跨境电商等新业态新模式发展，引进国际物流、知识产权等服务企业，逐步完善中国（济宁）跨境电子商务综合试验区创新聚集区“一站式”服务。扩大意大利海外仓规模，在东南亚、北美布局10个海外仓，构建“前展后仓+海外集结中心”模式，提供仓储配送、本地营销等一体化服务。推动海外仓与电商平台、外贸企业数据互联，实现库存共享、订单协同、物流可视化，建设智能化海外仓网络。鼓励企业共建共享海外仓，“抱团出海”建设海外运营中心。做强外贸综合服务平台，支持易运盈等龙头企业提升“山东外贸优品库”服务能力，拓展数字营销、供应链金融等增值服务，打造区域外贸综合服务标杆。到2030年，跨境电商交易额占外贸总额比重达到10%。</w:t>
      </w:r>
    </w:p>
    <w:p w14:paraId="39A41DF5">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tbl>
      <w:tblPr>
        <w:tblStyle w:val="49"/>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1F24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8" w:type="dxa"/>
            <w:vAlign w:val="top"/>
          </w:tcPr>
          <w:p w14:paraId="1EA1DE0A">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专栏11：海外仓</w:t>
            </w:r>
          </w:p>
          <w:p w14:paraId="6AD4A9DF">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意大利（米兰）公共海外仓</w:t>
            </w:r>
          </w:p>
          <w:p w14:paraId="1DCE48FE">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哈萨克斯坦（阿拉木图）公共海外仓</w:t>
            </w:r>
          </w:p>
          <w:p w14:paraId="6C54DBD0">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土耳其（伊斯坦布尔）公共海外仓</w:t>
            </w:r>
          </w:p>
          <w:p w14:paraId="3F9855C7">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肯尼亚（内罗毕）公共海外仓</w:t>
            </w:r>
          </w:p>
          <w:p w14:paraId="50CC957A">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智利（圣地亚哥）公共海外仓</w:t>
            </w:r>
          </w:p>
          <w:p w14:paraId="0F4AB80D">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匈牙利（布达佩斯）公共海外仓</w:t>
            </w:r>
          </w:p>
          <w:p w14:paraId="2221D616">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印度尼西亚（雅加达）海外仓</w:t>
            </w:r>
          </w:p>
          <w:p w14:paraId="79605524">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阿联酋（迪拜）海外仓</w:t>
            </w:r>
          </w:p>
          <w:p w14:paraId="50FD8DB2">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马来西亚（吉隆坡）海外仓</w:t>
            </w:r>
          </w:p>
          <w:p w14:paraId="16B65938">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格鲁吉亚（第比利斯）海外仓</w:t>
            </w:r>
          </w:p>
          <w:p w14:paraId="1CD9BCF3">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乌兹别克斯坦（塔什干）海外仓</w:t>
            </w:r>
          </w:p>
          <w:p w14:paraId="4A3C1691">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德国（柏林）海外仓</w:t>
            </w:r>
          </w:p>
          <w:p w14:paraId="4F6267D5">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沙特阿拉伯（利雅得）海外仓</w:t>
            </w:r>
          </w:p>
          <w:p w14:paraId="21471119">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方正仿宋简体" w:cs="Times New Roman"/>
                <w:kern w:val="0"/>
              </w:rPr>
            </w:pPr>
            <w:r>
              <w:rPr>
                <w:rFonts w:hint="default" w:ascii="Times New Roman" w:hAnsi="Times New Roman" w:eastAsia="方正仿宋简体" w:cs="Times New Roman"/>
                <w:kern w:val="0"/>
                <w:sz w:val="30"/>
                <w:szCs w:val="30"/>
              </w:rPr>
              <w:t>巴基斯坦（伊斯兰堡）海外仓</w:t>
            </w:r>
          </w:p>
        </w:tc>
      </w:tr>
    </w:tbl>
    <w:p w14:paraId="1BDAB156">
      <w:pPr>
        <w:keepNext w:val="0"/>
        <w:keepLines w:val="0"/>
        <w:pageBreakBefore w:val="0"/>
        <w:widowControl w:val="0"/>
        <w:kinsoku/>
        <w:wordWrap/>
        <w:overflowPunct w:val="0"/>
        <w:topLinePunct w:val="0"/>
        <w:autoSpaceDE/>
        <w:autoSpaceDN/>
        <w:bidi w:val="0"/>
        <w:adjustRightInd/>
        <w:snapToGrid/>
        <w:spacing w:line="280" w:lineRule="exact"/>
        <w:ind w:firstLine="0" w:firstLineChars="0"/>
        <w:textAlignment w:val="auto"/>
        <w:rPr>
          <w:rFonts w:hint="default" w:ascii="Times New Roman" w:hAnsi="Times New Roman" w:cs="Times New Roman"/>
        </w:rPr>
      </w:pPr>
    </w:p>
    <w:p w14:paraId="43FAD0F3">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95" w:name="_Toc19130"/>
      <w:r>
        <w:rPr>
          <w:rFonts w:hint="default" w:ascii="Times New Roman" w:hAnsi="Times New Roman" w:eastAsia="方正楷体简体" w:cs="Times New Roman"/>
          <w:bCs/>
        </w:rPr>
        <w:t>第三节  提质扩容服务贸易</w:t>
      </w:r>
      <w:bookmarkEnd w:id="95"/>
    </w:p>
    <w:p w14:paraId="326EF3D1">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聚焦高附加值领域，推动服务贸易与货物贸易协同发展，逐步提升服务贸易比重。大力发展技术贸易，引导企业扩大技术服务出口，加大研发设计、环境咨询、知识产权等高端服务进口。面向中亚、非洲、俄罗斯等重点国家或地区发展服务外包，推动工程机械售后、承包工程等传统服务贸易合作。组织企业参加境内外服务贸易展会，常态化举办“产业出海对接会”，促进企业与海外采购商、服务商精准对接。“十五五”期间，力争服务贸易进出口额突破100亿元。</w:t>
      </w:r>
    </w:p>
    <w:p w14:paraId="4249698F">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96" w:name="_Toc20425"/>
      <w:bookmarkStart w:id="97" w:name="_Toc4615"/>
      <w:r>
        <w:rPr>
          <w:rFonts w:hint="default" w:ascii="Times New Roman" w:hAnsi="Times New Roman" w:eastAsia="方正黑体简体" w:cs="Times New Roman"/>
        </w:rPr>
        <w:t>第三章  深化双向投资合作</w:t>
      </w:r>
      <w:bookmarkEnd w:id="96"/>
      <w:bookmarkEnd w:id="97"/>
    </w:p>
    <w:p w14:paraId="5AE50B1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塑造吸引外资新优势，促进外资境内再投资。健全外商投资服务保障体系，全面落实国民待遇，营造透明稳定可预期的制度环境。“十五五”期间，到位外资突破4.5亿美元。</w:t>
      </w:r>
    </w:p>
    <w:p w14:paraId="49795A07">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98" w:name="_Toc19222"/>
      <w:r>
        <w:rPr>
          <w:rFonts w:hint="default" w:ascii="Times New Roman" w:hAnsi="Times New Roman" w:eastAsia="方正楷体简体" w:cs="Times New Roman"/>
          <w:bCs/>
        </w:rPr>
        <w:t>第一节  拓展利用外资渠道</w:t>
      </w:r>
      <w:bookmarkEnd w:id="98"/>
    </w:p>
    <w:p w14:paraId="6C40BF49">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落实国家外商投资准入负面清单，巩固已开放领域外商投资成果，加大新开放领域外资招引力度，深化金融、农业等领域对外合作，按照内外资一致的原则允许外资企业自主选择经营范围，提升利用外资质量。用足用好利润再投资递延纳税、未分配利润直接投资税收抵免等政策，开展专项促进行动，引导重点外资企业将留存利润、债转股等资源聚焦于再投资与增资扩股。大力引进高技术产业外资，支持外商投资企业参与和扩大区内服务供给。“十五五”期间，力争新设或增资外资企业20家以上。</w:t>
      </w:r>
    </w:p>
    <w:p w14:paraId="5C7D2FC2">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99" w:name="_Toc13999"/>
      <w:r>
        <w:rPr>
          <w:rFonts w:hint="default" w:ascii="Times New Roman" w:hAnsi="Times New Roman" w:eastAsia="方正楷体简体" w:cs="Times New Roman"/>
          <w:bCs/>
        </w:rPr>
        <w:t>第二节  有序扩大对外投资</w:t>
      </w:r>
      <w:bookmarkEnd w:id="99"/>
    </w:p>
    <w:p w14:paraId="6E6426A5">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积极拓展对外投资合作，引导企业充分运用RCEP原产地累积规则，在东盟、中亚等重点区域布局境外加工基地与经贸合作园区。围绕产业与资源互补优势，强化项目谋划，通过对外投资和工程承包带动产品、设备与服务出口。鼓励重点企业扩大境外投资，并购资源能源项目，扩大资源回运进口规模，推动贸易投资协同发展。同步加强贸易风险防控，落实国家降风险政策，指导企业应对国际贸易摩擦、维护合法权益。推动外贸企业投保出口信用保险，强化风险保障和融资支持。健全贸易风险应对机制，加强重点出口产业监测预警，开展重点产品和市场的知识产权风险排查。增强涉外法律服务能力，提升企业运用国际规则水平。</w:t>
      </w:r>
    </w:p>
    <w:p w14:paraId="5B804C7D">
      <w:pPr>
        <w:overflowPunct w:val="0"/>
        <w:spacing w:line="536" w:lineRule="exact"/>
        <w:ind w:firstLine="640"/>
        <w:rPr>
          <w:rFonts w:hint="default" w:ascii="Times New Roman" w:hAnsi="Times New Roman" w:eastAsia="方正仿宋简体" w:cs="Times New Roman"/>
        </w:rPr>
        <w:sectPr>
          <w:pgSz w:w="11906" w:h="16838"/>
          <w:pgMar w:top="2155" w:right="1588" w:bottom="1304" w:left="1588" w:header="1361" w:footer="1418" w:gutter="0"/>
          <w:cols w:space="425" w:num="1"/>
          <w:docGrid w:type="linesAndChars" w:linePitch="312" w:charSpace="0"/>
        </w:sectPr>
      </w:pPr>
    </w:p>
    <w:p w14:paraId="33908DC6">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00" w:name="_Toc20003"/>
    </w:p>
    <w:p w14:paraId="7E8EDB98">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01" w:name="_Toc9364"/>
      <w:r>
        <w:rPr>
          <w:rFonts w:hint="default" w:ascii="Times New Roman" w:hAnsi="Times New Roman" w:eastAsia="方正小标宋_GBK" w:cs="Times New Roman"/>
          <w:sz w:val="36"/>
          <w:szCs w:val="36"/>
        </w:rPr>
        <w:t>第七篇  提升城市承载能力，深入推进新型城镇化</w:t>
      </w:r>
      <w:bookmarkEnd w:id="100"/>
      <w:bookmarkEnd w:id="101"/>
    </w:p>
    <w:p w14:paraId="492E83A9">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6BCDEDD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bookmarkStart w:id="102" w:name="_Toc13974"/>
      <w:r>
        <w:rPr>
          <w:rFonts w:hint="default" w:ascii="Times New Roman" w:hAnsi="Times New Roman" w:eastAsia="方正仿宋简体" w:cs="Times New Roman"/>
        </w:rPr>
        <w:t>以区域协调、集约集聚、融合发展为导向，聚焦打造城市发展新空间、产业发展新高地，强化中心城区引领，加速与济宁主城区深度融合。</w:t>
      </w:r>
    </w:p>
    <w:bookmarkEnd w:id="102"/>
    <w:p w14:paraId="0079A151">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03" w:name="_Toc11592"/>
      <w:r>
        <w:rPr>
          <w:rFonts w:hint="default" w:ascii="Times New Roman" w:hAnsi="Times New Roman" w:eastAsia="方正黑体简体" w:cs="Times New Roman"/>
        </w:rPr>
        <w:t>第一章  优化全域空间布局</w:t>
      </w:r>
      <w:bookmarkEnd w:id="103"/>
    </w:p>
    <w:p w14:paraId="03CC17D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坚持以城带乡、城乡互补，构建“两轴两带”协调发展的空间布局，强化小城镇连城带乡纽带作用，建设一批城市产城融合强镇、专业功能镇，推动城乡协同发展。</w:t>
      </w:r>
    </w:p>
    <w:p w14:paraId="26208AB9">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04" w:name="_Toc11949"/>
      <w:r>
        <w:rPr>
          <w:rFonts w:hint="default" w:ascii="Times New Roman" w:hAnsi="Times New Roman" w:eastAsia="方正楷体简体" w:cs="Times New Roman"/>
          <w:bCs/>
        </w:rPr>
        <w:t>第一节  构建“一核两轴三镇”城镇空间布局</w:t>
      </w:r>
      <w:bookmarkEnd w:id="104"/>
    </w:p>
    <w:p w14:paraId="4ED2BFF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核”，即中心城区。进一步增强中心城区带动能力，促进新兖镇、颜店镇、大安镇融入主城区发展，聚力打造贯通东西、融汇南北的“两轴”发展主轴，提升城市发展能级。“两轴”，即东西向城市拓展轴和南北向活力发展轴。“东西轴”以九州路、建设路为骨架构成空间发展轴线，串联行政办公、文化教育、医疗体育、商业服务等基础设施，形成横贯东西的经济社会发展主动脉。东部重点实施城市更新、推进老旧小区改造、补充公共绿地和开放空间，塑造舒朗宜居的城市形态。西部重点优化主干道商业网点布局，建设高品质住宅和城市综合体，完善公共服务。“南北轴”以荆州路、西浦路、德源路为骨架，对接任城区、高新区，构建融汇南北的城市活力发展轴。南部围绕高铁站前区域打造“智造谷”，形成集交通枢纽、商务服务、宜居宜业于一体的产城融合发展区；北部围绕体育馆打造“青春里”青年友好发展中心，建设创新与产教融合发展区。“三镇”即小孟镇、新驿镇、漕河镇，依托各镇资源条件，建设服务镇域、城乡融合发展的特色小城镇。</w:t>
      </w:r>
    </w:p>
    <w:p w14:paraId="1031A6A0">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05" w:name="_Toc24555"/>
      <w:r>
        <w:rPr>
          <w:rFonts w:hint="default" w:ascii="Times New Roman" w:hAnsi="Times New Roman" w:eastAsia="方正楷体简体" w:cs="Times New Roman"/>
          <w:bCs/>
        </w:rPr>
        <w:t>第二节  构建“一心两带”生态空间布局</w:t>
      </w:r>
      <w:bookmarkEnd w:id="105"/>
    </w:p>
    <w:p w14:paraId="215ED6B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心两带”，即济宁生态绿心、泗河绿色发展带、洸府河生态休闲带，筑牢提升城市品质、承载绿色生活的韧性生态基底。生态绿心以兴隆庄街道南部塌陷地为核心，建设集塌陷地修复、景观生态、休闲旅游、科普教育于一体的郊野绿色发展核心。依托泗河廊道，串联龙湖湿地、青莲湿地、马桥湿地、花海彩田及大雨住湿地等湿地资源，优化提升“生态+文化+旅游+农业”板块，形成集休闲娱乐、文化旅游、医养康健、乡村振兴为一体的泗河绿色发展带。依托洸府河廊道，链接临空经济区、兖州高新区、太阳新材料产业园，加速对接济宁主城区，培育创新平台、汇聚高端人才、发展创新经济，持续提升水系治理与景观水平，打造洸府河生态屏障。</w:t>
      </w:r>
    </w:p>
    <w:p w14:paraId="09A7EB46">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06" w:name="_Toc21534"/>
      <w:r>
        <w:rPr>
          <w:rFonts w:hint="default" w:ascii="Times New Roman" w:hAnsi="Times New Roman" w:eastAsia="方正楷体简体" w:cs="Times New Roman"/>
          <w:bCs/>
        </w:rPr>
        <w:t>第三节  提升新型城镇化水平</w:t>
      </w:r>
      <w:bookmarkEnd w:id="106"/>
    </w:p>
    <w:p w14:paraId="3C93D665">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镇一策”打造各具特色、富有活力的工业重镇、农业大镇、商贸强镇、文旅名镇、生态美镇。强化新兖镇省级试点镇示范作用，立足济宁卫星城镇定位，承接中心城区辐射带动，优化布局、完善配套，建设现代化产城融合强镇；颜店镇重点发展新能源、新材料、造纸包装、现代食品四大产业，完善公共服务配套，建设先进制造业强镇、新能源小镇；大安镇立足产业门类丰富、内生动力强劲的综合优势，以“提质增效、集群发展”为导向，打造成为以先进制造为支撑、产城深度融合的工业企业培育强镇；新驿镇建设以健康食品、机械制造、高端装备配套为引领的工贸强镇；漕河镇立足北部临空区位优势，以乡村振兴为总抓手，聚焦高效农业与高端装备制造，深挖本土文化底蕴，建设农业强镇与生态宜居新型城镇；小孟镇重点发展高端装备制造、新型建材、新材料、高档服装加工4个区域特色产业链，做大做强乡村富民产业和现代农业，打造宜工宜农、工农互促、绿色生态、温情善治的宜居城镇。</w:t>
      </w:r>
    </w:p>
    <w:p w14:paraId="26D6CC65">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07" w:name="_Toc10036"/>
      <w:r>
        <w:rPr>
          <w:rFonts w:hint="default" w:ascii="Times New Roman" w:hAnsi="Times New Roman" w:eastAsia="方正楷体简体" w:cs="Times New Roman"/>
          <w:bCs/>
        </w:rPr>
        <w:t>第四节  推动产城人融合发展</w:t>
      </w:r>
      <w:bookmarkEnd w:id="107"/>
    </w:p>
    <w:p w14:paraId="6D437A5F">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以产促城、以城兴产，提升产业承载能力和城市发展水平，推动产业空间与生活空间高效协同、有机融合，实现城市发展方式从外延扩张向内涵提升转变。坚持系统思维和适度超前原则，结合人口与产业需求动态调整用地供应，统筹推进城市更新与新型基础设施建设，深化“房地产+”融合，配套产业园区居住与服务设施，为产业与人才提供稳定优质的空间载体，打造“产居一体、功能完备”的产城融合发展新片区。积极融入济宁都市区“30分钟”通勤圈，规划建设连接主要产业园区与对外干道的货运专用通道，促进要素在更广区域内的自由流动与高效配置，构建“外联内畅、客货分离、快慢有序”的现代化综合交通体系。围绕“人”的需求构建全覆盖、多层次、精准化的服务体系，规划建设服务镇街的片区级综合服务中心，打造以1000米为半径的街道级“15分钟生活圈”和以300米为半径的社区级“5分钟便民圈”。</w:t>
      </w:r>
    </w:p>
    <w:p w14:paraId="5756D059">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08" w:name="_Toc2198"/>
      <w:r>
        <w:rPr>
          <w:rFonts w:hint="default" w:ascii="Times New Roman" w:hAnsi="Times New Roman" w:eastAsia="方正黑体简体" w:cs="Times New Roman"/>
        </w:rPr>
        <w:t>第二章  提升城市功能品质</w:t>
      </w:r>
      <w:bookmarkEnd w:id="108"/>
    </w:p>
    <w:p w14:paraId="3E7824DF">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践行人民城市理念，坚持城市内涵式发展。围绕“产城融合”“城乡融合”“都市区一体化”，推动城市更新，补齐基础设施短板，建设创新、宜居、美丽、韧性、文明、智慧的现代化城市。</w:t>
      </w:r>
    </w:p>
    <w:p w14:paraId="33C7050B">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09" w:name="_Toc22388"/>
      <w:r>
        <w:rPr>
          <w:rFonts w:hint="default" w:ascii="Times New Roman" w:hAnsi="Times New Roman" w:eastAsia="方正楷体简体" w:cs="Times New Roman"/>
          <w:bCs/>
        </w:rPr>
        <w:t>第一节  稳步推进城市更新</w:t>
      </w:r>
      <w:bookmarkEnd w:id="109"/>
    </w:p>
    <w:p w14:paraId="442FF31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因地制宜、分类施策原则，统筹推进老城区功能疏解与新城区高品质建设，科学谋划城市更新项目。树牢“经营城市”理念，吸引社会资本参与老城区功能疏解与有机更新，以“留改拆”并举、保留利用提升为主，通过小规模、渐进式更新优化老城功能。重点实施东城老旧小区、城中村改造，适度疏解人口密集街区，对历史街区进行保护性提升，同步完善路网与功能设施。以2005年前建成的老旧小区改造为先导，逐步扩展范围，全面推行“改造+物业”一体化服务模式。加快推进非电网直供小区供配电设施改造，落实“供电到户、抄表到户、收费到户、服务到户”。积极探索高层住宅“电梯+保险”服务，优先更新使用超15年、隐患突出的电梯，切实改善人居环境与服务功能。通过系统搬迁安置与配套保障，推动“老旧居住区”向“产居融合新片区”转型。高标准引领新城建设与功能集聚，重点布局高品质住宅、优质公共服务设施与绿色开放空间，建设智慧城市、智慧社区，吸引人口与功能合理集聚，系统提升人居环境与城市整体品位，形成功能完善、宜居宜业的发展新空间。</w:t>
      </w:r>
    </w:p>
    <w:p w14:paraId="3DD6D4FD">
      <w:pPr>
        <w:pStyle w:val="2"/>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2278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vAlign w:val="top"/>
          </w:tcPr>
          <w:p w14:paraId="73D3B4F6">
            <w:pPr>
              <w:pStyle w:val="39"/>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专栏12：城市更新项目</w:t>
            </w:r>
          </w:p>
          <w:p w14:paraId="71038A33">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颜店小城镇城市更新项目</w:t>
            </w:r>
          </w:p>
          <w:p w14:paraId="30D18358">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城市生命线安全运行监测能力提升项目</w:t>
            </w:r>
          </w:p>
          <w:p w14:paraId="1A4D56B1">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府河佳苑养老服务一体化中心项目</w:t>
            </w:r>
          </w:p>
          <w:p w14:paraId="6E29AD4D">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府河佳苑（西护城河B区）建设项目</w:t>
            </w:r>
          </w:p>
          <w:p w14:paraId="0D7319AA">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兖州区智能充电网络系统建设项目</w:t>
            </w:r>
          </w:p>
          <w:p w14:paraId="4D8EA986">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安和源项目</w:t>
            </w:r>
          </w:p>
          <w:p w14:paraId="7E11E9DE">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生活垃圾收转运设施提升改造项目</w:t>
            </w:r>
          </w:p>
          <w:p w14:paraId="0E294A5F">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春华秋实广场项目</w:t>
            </w:r>
          </w:p>
          <w:p w14:paraId="52B5315F">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兖州区拱极商贸购物中心改扩建项目</w:t>
            </w:r>
          </w:p>
          <w:p w14:paraId="0998437C">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兴隆庄街道驾校片区项目</w:t>
            </w:r>
          </w:p>
          <w:p w14:paraId="5AA0E655">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兴隆庄街道堡子片区一期、二期社区建设项目</w:t>
            </w:r>
          </w:p>
          <w:p w14:paraId="40AB2CC4">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新建殡仪馆建设项目</w:t>
            </w:r>
          </w:p>
          <w:p w14:paraId="2242712D">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君临源著项目</w:t>
            </w:r>
          </w:p>
          <w:p w14:paraId="7C7914A4">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泰兴恒润住宅小区建设项目</w:t>
            </w:r>
          </w:p>
          <w:p w14:paraId="3B525583">
            <w:pPr>
              <w:pStyle w:val="41"/>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cs="Times New Roman"/>
              </w:rPr>
            </w:pPr>
            <w:r>
              <w:rPr>
                <w:rFonts w:hint="default" w:ascii="Times New Roman" w:hAnsi="Times New Roman" w:eastAsia="方正仿宋简体" w:cs="Times New Roman"/>
              </w:rPr>
              <w:t>易君佳园项目</w:t>
            </w:r>
          </w:p>
        </w:tc>
      </w:tr>
    </w:tbl>
    <w:p w14:paraId="4DDC8DC4">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p w14:paraId="1A682AEE">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110" w:name="_Toc18685"/>
      <w:r>
        <w:rPr>
          <w:rFonts w:hint="default" w:ascii="Times New Roman" w:hAnsi="Times New Roman" w:eastAsia="方正楷体简体" w:cs="Times New Roman"/>
          <w:bCs/>
        </w:rPr>
        <w:t>第二节  完善城市基础设施与公共服务</w:t>
      </w:r>
      <w:bookmarkEnd w:id="110"/>
    </w:p>
    <w:p w14:paraId="016119A8">
      <w:pPr>
        <w:overflowPunct w:val="0"/>
        <w:spacing w:line="536" w:lineRule="exact"/>
        <w:ind w:firstLine="640"/>
        <w:rPr>
          <w:rFonts w:hint="default" w:ascii="Times New Roman" w:hAnsi="Times New Roman" w:eastAsia="方正仿宋简体" w:cs="Times New Roman"/>
        </w:rPr>
      </w:pPr>
      <w:r>
        <w:rPr>
          <w:rFonts w:hint="default" w:ascii="Times New Roman" w:hAnsi="Times New Roman" w:eastAsia="方正仿宋简体" w:cs="Times New Roman"/>
        </w:rPr>
        <w:t>实施城市生命线安全工程，推动市政基础设施和地下空间一体化建设，加强综合管廊系统布局和老旧管网升级改造。重点推进兖州高新区、工业园区及主干道的供热、供气、供水等地下管网更新，有序推进运行年限20年以上老旧供热、燃气管网“动态清零”。对城区立交桥泵站进行升级改造，完成城区600公里雨污管网检测清淤，打通福州路、荆州路等城区断头路，全面检测维修道路桥梁，保障市民出行和城市运行安全。建设城市物联网感知体系，搭建城市基础设施安全监管平台和地下管网三维系统，推进城市运行、安全管理等平台数据融合、系统集成，提升城市智慧管理能力。拓展智慧社区应用，力争2030年覆盖率达到95%以上。完善停车场及充电设施，建设智慧停车平台，缓解充电难、停车难问题。开展市容环境综合提升，推进公园及城市绿道建设，加强垃圾全过程处置。到2030年，实现公共机构垃圾分类全覆盖，城市生活垃圾回收利用率提升至75%。</w:t>
      </w:r>
    </w:p>
    <w:p w14:paraId="4C09D328">
      <w:pPr>
        <w:keepNext w:val="0"/>
        <w:keepLines w:val="0"/>
        <w:pageBreakBefore w:val="0"/>
        <w:widowControl w:val="0"/>
        <w:kinsoku/>
        <w:wordWrap/>
        <w:overflowPunct w:val="0"/>
        <w:topLinePunct w:val="0"/>
        <w:autoSpaceDE/>
        <w:autoSpaceDN/>
        <w:bidi w:val="0"/>
        <w:adjustRightInd/>
        <w:snapToGrid/>
        <w:spacing w:line="280" w:lineRule="exact"/>
        <w:ind w:firstLine="624"/>
        <w:textAlignment w:val="auto"/>
        <w:rPr>
          <w:rFonts w:hint="default" w:ascii="Times New Roman" w:hAnsi="Times New Roman" w:cs="Times New Roman"/>
          <w:spacing w:val="-4"/>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09D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14:paraId="1BE891CA">
            <w:pPr>
              <w:pStyle w:val="39"/>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专栏13：管网设施项目</w:t>
            </w:r>
          </w:p>
          <w:p w14:paraId="209876D1">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兖州区老旧小区供热管网更新改造项目</w:t>
            </w:r>
          </w:p>
          <w:p w14:paraId="713A29BE">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华源电厂及邹县电厂供热工程升级改造工程</w:t>
            </w:r>
          </w:p>
          <w:p w14:paraId="2FA042AD">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智慧供热二网平衡及供热计量改造工程</w:t>
            </w:r>
          </w:p>
          <w:p w14:paraId="37E4C894">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华勤片区供热管网更新改造项目</w:t>
            </w:r>
          </w:p>
          <w:p w14:paraId="3C277F83">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山东公用高新能源至兖州城区热源替代管网项目</w:t>
            </w:r>
          </w:p>
          <w:p w14:paraId="3146527F">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兖州区清洁能源供热项目</w:t>
            </w:r>
          </w:p>
          <w:p w14:paraId="0785D388">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兖州区燃气安全设施升级改造项目</w:t>
            </w:r>
          </w:p>
          <w:p w14:paraId="36CDB05D">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中俄东线济宁支线管道工程4#阀室项目</w:t>
            </w:r>
          </w:p>
          <w:p w14:paraId="41BA3D9A">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华源线中继泵站建设工程</w:t>
            </w:r>
          </w:p>
          <w:p w14:paraId="0E381CB9">
            <w:pPr>
              <w:pStyle w:val="41"/>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兖州工业园区供热系统更新及热源更新替代工程</w:t>
            </w:r>
          </w:p>
        </w:tc>
      </w:tr>
    </w:tbl>
    <w:p w14:paraId="7872B3AC">
      <w:pPr>
        <w:keepNext w:val="0"/>
        <w:keepLines w:val="0"/>
        <w:pageBreakBefore w:val="0"/>
        <w:widowControl w:val="0"/>
        <w:kinsoku/>
        <w:wordWrap/>
        <w:overflowPunct w:val="0"/>
        <w:topLinePunct w:val="0"/>
        <w:autoSpaceDE/>
        <w:autoSpaceDN/>
        <w:bidi w:val="0"/>
        <w:adjustRightInd/>
        <w:snapToGrid/>
        <w:spacing w:line="280" w:lineRule="exact"/>
        <w:ind w:firstLine="0" w:firstLineChars="0"/>
        <w:textAlignment w:val="auto"/>
        <w:rPr>
          <w:rFonts w:hint="default" w:ascii="Times New Roman" w:hAnsi="Times New Roman" w:cs="Times New Roman"/>
          <w:spacing w:val="-4"/>
        </w:rPr>
      </w:pPr>
    </w:p>
    <w:p w14:paraId="771F9485">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111" w:name="_Toc29797"/>
      <w:r>
        <w:rPr>
          <w:rFonts w:hint="default" w:ascii="Times New Roman" w:hAnsi="Times New Roman" w:eastAsia="方正楷体简体" w:cs="Times New Roman"/>
          <w:bCs/>
        </w:rPr>
        <w:t>第三节  促进房地产平稳健康发展</w:t>
      </w:r>
      <w:bookmarkEnd w:id="111"/>
    </w:p>
    <w:p w14:paraId="2EC4AB25">
      <w:pPr>
        <w:overflowPunct w:val="0"/>
        <w:spacing w:line="536" w:lineRule="exact"/>
        <w:ind w:firstLine="640"/>
        <w:rPr>
          <w:rFonts w:hint="default" w:ascii="Times New Roman" w:hAnsi="Times New Roman" w:eastAsia="方正仿宋简体" w:cs="Times New Roman"/>
        </w:rPr>
      </w:pPr>
      <w:r>
        <w:rPr>
          <w:rFonts w:hint="default" w:ascii="Times New Roman" w:hAnsi="Times New Roman" w:eastAsia="方正仿宋简体" w:cs="Times New Roman"/>
        </w:rPr>
        <w:t>培育本地房地产企业，聚焦改善型住房需求，建设安全舒适绿色智慧的“好房子”，增加高品质住宅供给，为房地产市场注入新活力。“十五五”期间，推动泰兴恒润、君临源著等高品质住宅项目建设，新增高品质住房面积80万平方米以上。优化物业服务管理，推进“端信兖州 红色物业”建设，建成一批功能完备、服务完善的“好小区”。改造提升城市养老、托育、便民服务等基础设施，创建一批完整社区，打造宜居、韧性、智慧“好城区”。实施房屋品质提升工程，落实工程质量终身责任制，推进房屋全生命周期安全管理。优化保障性住房供给，健全多主体供给、多渠道保障、租购并举的住房制度，加快保障性租赁住房建设，满足城镇工薪群众和各类困难家庭基本住房需求。</w:t>
      </w:r>
    </w:p>
    <w:p w14:paraId="1D690028">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112" w:name="_Toc25296"/>
      <w:r>
        <w:rPr>
          <w:rFonts w:hint="default" w:ascii="Times New Roman" w:hAnsi="Times New Roman" w:eastAsia="方正楷体简体" w:cs="Times New Roman"/>
          <w:bCs/>
        </w:rPr>
        <w:t>第四节  推进交通设施一体化</w:t>
      </w:r>
      <w:bookmarkEnd w:id="112"/>
    </w:p>
    <w:p w14:paraId="05BD8BB5">
      <w:pPr>
        <w:overflowPunct w:val="0"/>
        <w:spacing w:line="536" w:lineRule="exact"/>
        <w:ind w:firstLine="640"/>
        <w:rPr>
          <w:rFonts w:hint="default" w:ascii="Times New Roman" w:hAnsi="Times New Roman" w:eastAsia="方正仿宋简体" w:cs="Times New Roman"/>
        </w:rPr>
      </w:pPr>
      <w:r>
        <w:rPr>
          <w:rFonts w:hint="default" w:ascii="Times New Roman" w:hAnsi="Times New Roman" w:eastAsia="方正仿宋简体" w:cs="Times New Roman"/>
        </w:rPr>
        <w:t>完善现代化综合立体交通体系，服务保障兖州至郓城高速、平邑至兖州高速、日兰高速改扩建等项目建设，畅通机场、高铁、高速之间关键通道，加速与济宁主城区对接融合。强化区域交通枢纽功能，实施S246、S104路面扩宽工程，加大与周边县市区路网的衔接。统筹大安机场、兖州北站、济宁东站、国际陆港等关键节点客货运通道连接，提升交通网络整体运行效率。着力提升兖州高新区与工业园区、城市干道与周边区域的互联互通水平，助力产业集群发展。适时启动九州路、创业路、兖颜路、鲁王路西延，实施崇文大道、兖肖线、济阳路修复工程，规划建设火炬路，打通城区福州路、荆州路等一批断头路，缓解周边区域交通压力。开通城市公交环线，更新公交车辆，适时投放无人驾驶公交，提升交通运输服务能力。统筹农业生产、乡村旅游等需求，推动“四好农村路”加快发展，促进农村公路建设与乡村产业发展有机融合，实施农村路网提档升级工程。“十五五”期间，养护维修农村公路350公里，改造危旧桥梁10座，争创国家级“农村公路建设示范县”。</w:t>
      </w:r>
    </w:p>
    <w:p w14:paraId="473DEB1E">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099D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14:paraId="1A22AD53">
            <w:pPr>
              <w:pStyle w:val="39"/>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专栏14：道路工程项目</w:t>
            </w:r>
          </w:p>
          <w:p w14:paraId="7C32E19D">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济宁航管雷达、大安机场天气雷达建设工程</w:t>
            </w:r>
          </w:p>
          <w:p w14:paraId="36A9B420">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济微高速连接线（创业路西延）建设工程</w:t>
            </w:r>
          </w:p>
          <w:p w14:paraId="55E4E232">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九州路、兖颜路、鲁王路、丰兖路、泰安路等建设工程</w:t>
            </w:r>
          </w:p>
          <w:p w14:paraId="35DF9155">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S246、S104拓宽建设工程</w:t>
            </w:r>
          </w:p>
          <w:p w14:paraId="3AED122B">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福州路、荆州路、梁州路等道路贯通工程</w:t>
            </w:r>
          </w:p>
          <w:p w14:paraId="132AC17D">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子渊路、盛阳路建设工程</w:t>
            </w:r>
          </w:p>
          <w:p w14:paraId="67BDB2DE">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中源沟东路（鲁王路—兖颜路）拓宽改造工程</w:t>
            </w:r>
          </w:p>
          <w:p w14:paraId="7852344C">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火炬路（兖颜路—327国道）拓宽提升工程</w:t>
            </w:r>
          </w:p>
          <w:p w14:paraId="611386FE">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顺德路（德源路—西浦路）建设工程</w:t>
            </w:r>
          </w:p>
          <w:p w14:paraId="0CA033EA">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崇文大道、兖肖线、济阳线修复工程</w:t>
            </w:r>
          </w:p>
          <w:p w14:paraId="2507F018">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平鄄高速（兖州至郓城段）</w:t>
            </w:r>
          </w:p>
          <w:p w14:paraId="56470F0D">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平鄄高速（兖州至平邑段）</w:t>
            </w:r>
          </w:p>
          <w:p w14:paraId="5BF25FB3">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日兰高速（兖州段）拓宽工程</w:t>
            </w:r>
          </w:p>
        </w:tc>
      </w:tr>
    </w:tbl>
    <w:p w14:paraId="4AAD862C">
      <w:pPr>
        <w:keepNext w:val="0"/>
        <w:keepLines w:val="0"/>
        <w:pageBreakBefore w:val="0"/>
        <w:widowControl w:val="0"/>
        <w:kinsoku/>
        <w:wordWrap/>
        <w:overflowPunct w:val="0"/>
        <w:topLinePunct w:val="0"/>
        <w:autoSpaceDE/>
        <w:autoSpaceDN/>
        <w:bidi w:val="0"/>
        <w:adjustRightInd/>
        <w:snapToGrid/>
        <w:spacing w:line="280" w:lineRule="exact"/>
        <w:ind w:firstLine="0" w:firstLineChars="0"/>
        <w:textAlignment w:val="auto"/>
        <w:rPr>
          <w:rFonts w:hint="default" w:ascii="Times New Roman" w:hAnsi="Times New Roman" w:cs="Times New Roman"/>
        </w:rPr>
      </w:pPr>
    </w:p>
    <w:p w14:paraId="201B0989">
      <w:pPr>
        <w:pStyle w:val="45"/>
        <w:overflowPunct w:val="0"/>
        <w:spacing w:before="312" w:beforeLines="100" w:after="312" w:afterLines="100"/>
        <w:rPr>
          <w:rFonts w:hint="default" w:ascii="Times New Roman" w:hAnsi="Times New Roman" w:eastAsia="方正黑体简体" w:cs="Times New Roman"/>
        </w:rPr>
      </w:pPr>
      <w:bookmarkStart w:id="113" w:name="_Toc13207"/>
      <w:bookmarkStart w:id="114" w:name="_Toc7043"/>
      <w:r>
        <w:rPr>
          <w:rFonts w:hint="default" w:ascii="Times New Roman" w:hAnsi="Times New Roman" w:eastAsia="方正黑体简体" w:cs="Times New Roman"/>
        </w:rPr>
        <w:t>第三章  打造安全高效现代水网</w:t>
      </w:r>
      <w:bookmarkEnd w:id="113"/>
    </w:p>
    <w:p w14:paraId="4B693305">
      <w:pPr>
        <w:overflowPunct w:val="0"/>
        <w:spacing w:line="536" w:lineRule="exact"/>
        <w:ind w:firstLine="640"/>
        <w:rPr>
          <w:rFonts w:hint="default" w:ascii="Times New Roman" w:hAnsi="Times New Roman" w:eastAsia="方正仿宋简体" w:cs="Times New Roman"/>
        </w:rPr>
      </w:pPr>
      <w:r>
        <w:rPr>
          <w:rFonts w:hint="default" w:ascii="Times New Roman" w:hAnsi="Times New Roman" w:eastAsia="方正仿宋简体" w:cs="Times New Roman"/>
        </w:rPr>
        <w:t>坚持严节水、保供水、防洪水、排涝水、治污水、强蓄水“六水共治”，实施地表水、地下水、外调水、非常规水、涝水、洪水“六水”并用，统筹编制实施城乡一体的水网规划，对城乡供水、防洪除涝、水资源保障等开展系统治理，推动安全高效现代水网建设。</w:t>
      </w:r>
    </w:p>
    <w:p w14:paraId="7CFA7722">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115" w:name="_Toc25435"/>
      <w:r>
        <w:rPr>
          <w:rFonts w:hint="default" w:ascii="Times New Roman" w:hAnsi="Times New Roman" w:eastAsia="方正楷体简体" w:cs="Times New Roman"/>
          <w:bCs/>
        </w:rPr>
        <w:t>第一节  推进水资源安全高效利用</w:t>
      </w:r>
      <w:bookmarkEnd w:id="115"/>
    </w:p>
    <w:p w14:paraId="51356588">
      <w:pPr>
        <w:overflowPunct w:val="0"/>
        <w:spacing w:line="536" w:lineRule="exact"/>
        <w:ind w:firstLine="640"/>
        <w:rPr>
          <w:rFonts w:hint="default" w:ascii="Times New Roman" w:hAnsi="Times New Roman" w:eastAsia="方正仿宋简体" w:cs="Times New Roman"/>
        </w:rPr>
      </w:pPr>
      <w:r>
        <w:rPr>
          <w:rFonts w:hint="default" w:ascii="Times New Roman" w:hAnsi="Times New Roman" w:eastAsia="方正仿宋简体" w:cs="Times New Roman"/>
        </w:rPr>
        <w:t>全力推进城市生活、农村生活、工业及市政4个供水支网一体化建设。重点完善西城区管网布局，系统改造东城区老旧管网，升级二次供水设施，有效降低漏损率并稳定供水压力。依托现有工程体系，加快老化供水设施更新改造，加强水源和水质检测，推动农村饮水安全从“有没有”向“好不好”的更高标准转变。强化水资源刚性约束，积极利用地表水、南水北调等水源，优化供水管网布局，增强工业供水保障能力。通过新建排水管网、建设人工湿地、实施深度净化等工程措施，系统推动再生水资源统一配置，优先用于生态补水、园林绿化、道路清洗及建筑施工等领域，有效缓解水资源供需矛盾，市政再生水利用率提升至80%以上。大力推进城区雨污分流改造、内涝治理与排水管道升级，完善雨水排水系统，显著提升城市应对极端降雨的排涝能力。</w:t>
      </w:r>
    </w:p>
    <w:p w14:paraId="1CD69C42">
      <w:pPr>
        <w:overflowPunct w:val="0"/>
        <w:spacing w:before="156" w:beforeLines="50" w:after="156" w:afterLines="50"/>
        <w:ind w:firstLine="0" w:firstLineChars="0"/>
        <w:jc w:val="center"/>
        <w:outlineLvl w:val="2"/>
        <w:rPr>
          <w:rFonts w:hint="default" w:ascii="Times New Roman" w:hAnsi="Times New Roman" w:eastAsia="方正楷体简体" w:cs="Times New Roman"/>
          <w:bCs/>
        </w:rPr>
      </w:pPr>
      <w:bookmarkStart w:id="116" w:name="_Toc19255"/>
      <w:r>
        <w:rPr>
          <w:rFonts w:hint="default" w:ascii="Times New Roman" w:hAnsi="Times New Roman" w:eastAsia="方正楷体简体" w:cs="Times New Roman"/>
          <w:bCs/>
        </w:rPr>
        <w:t>第二节  强化河流水网治理</w:t>
      </w:r>
      <w:bookmarkEnd w:id="116"/>
    </w:p>
    <w:p w14:paraId="6A771B61">
      <w:pPr>
        <w:overflowPunct w:val="0"/>
        <w:spacing w:line="536" w:lineRule="exact"/>
        <w:ind w:firstLine="640"/>
        <w:rPr>
          <w:rFonts w:hint="default" w:ascii="Times New Roman" w:hAnsi="Times New Roman" w:eastAsia="方正仿宋简体" w:cs="Times New Roman"/>
        </w:rPr>
      </w:pPr>
      <w:r>
        <w:rPr>
          <w:rFonts w:hint="default" w:ascii="Times New Roman" w:hAnsi="Times New Roman" w:eastAsia="方正仿宋简体" w:cs="Times New Roman"/>
        </w:rPr>
        <w:t>加强府河、护城河等城区河道的建设管理，实施清淤疏浚、护坡加固等工程。完成中御桥至五里庄市场、五里庄市场至西浦路总计11.1公里河道的清淤拓深，做好常态化维护，保障河道排水通畅。推进骨干河道系统治理。实施支流与干流综合整治，系统推进泗河、府河、南护城河、鲁王河、谭村河及荆州路湿地等水系治理工程，对北环城路至府河段7公里河道进行系统整治。全面恢复农田沟渠与路边沟排水功能，重点提升农田防涝排涝标准，确保与高标准农田排涝渠系有效衔接，打通“水入渠、渠入沟、沟入河”路径，实现“村庄不进水、庄稼不受淹”。</w:t>
      </w:r>
    </w:p>
    <w:p w14:paraId="1E867E4F">
      <w:pPr>
        <w:pStyle w:val="19"/>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cs="Times New Roman"/>
        </w:rPr>
      </w:pPr>
    </w:p>
    <w:bookmarkEnd w:id="114"/>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1A35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14:paraId="5A4A8CC9">
            <w:pPr>
              <w:pStyle w:val="39"/>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专栏15：水网工程项目</w:t>
            </w:r>
          </w:p>
          <w:p w14:paraId="75107FE7">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兖州区供排水能力提升改造工程</w:t>
            </w:r>
          </w:p>
          <w:p w14:paraId="42914F11">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兖州区北部城区排水管网改造工程一期、二期</w:t>
            </w:r>
          </w:p>
          <w:p w14:paraId="5B2F2D00">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洸府河流域支流治理工程</w:t>
            </w:r>
          </w:p>
          <w:p w14:paraId="30407B7C">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雨污分流管网提升改造工程</w:t>
            </w:r>
          </w:p>
          <w:p w14:paraId="5250650F">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府河、大安河、南护城河提升改造工程</w:t>
            </w:r>
          </w:p>
          <w:p w14:paraId="472525F0">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城区河道连通工程</w:t>
            </w:r>
          </w:p>
          <w:p w14:paraId="45876201">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农村干、支、斗、毛渠系联通工程</w:t>
            </w:r>
          </w:p>
          <w:p w14:paraId="4170E1D0">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兖州高新区（颜店新城）市政基础设施排水管网改造提升工程</w:t>
            </w:r>
          </w:p>
          <w:p w14:paraId="31A689F2">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引泗回灌引调水工程</w:t>
            </w:r>
          </w:p>
          <w:p w14:paraId="2C5B77C7">
            <w:pPr>
              <w:pStyle w:val="41"/>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兖州区河流坝体除险加固工程</w:t>
            </w:r>
          </w:p>
        </w:tc>
      </w:tr>
    </w:tbl>
    <w:p w14:paraId="6FDEEE1D">
      <w:pPr>
        <w:overflowPunct w:val="0"/>
        <w:ind w:firstLine="0" w:firstLineChars="0"/>
        <w:rPr>
          <w:rFonts w:hint="default" w:ascii="Times New Roman" w:hAnsi="Times New Roman" w:cs="Times New Roman"/>
          <w:szCs w:val="22"/>
          <w14:ligatures w14:val="none"/>
        </w:rPr>
        <w:sectPr>
          <w:pgSz w:w="11906" w:h="16838"/>
          <w:pgMar w:top="2155" w:right="1588" w:bottom="1304" w:left="1588" w:header="1361" w:footer="1418" w:gutter="0"/>
          <w:cols w:space="425" w:num="1"/>
          <w:docGrid w:type="linesAndChars" w:linePitch="312" w:charSpace="0"/>
        </w:sectPr>
      </w:pPr>
    </w:p>
    <w:p w14:paraId="6EFD8DA5">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17" w:name="_Toc2858"/>
    </w:p>
    <w:p w14:paraId="4B194A84">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18" w:name="_Toc21984"/>
      <w:r>
        <w:rPr>
          <w:rFonts w:hint="default" w:ascii="Times New Roman" w:hAnsi="Times New Roman" w:eastAsia="方正小标宋_GBK" w:cs="Times New Roman"/>
          <w:sz w:val="36"/>
          <w:szCs w:val="36"/>
        </w:rPr>
        <w:t>第八篇  加快农业农村现代化，扎实推进乡村全面振兴</w:t>
      </w:r>
      <w:bookmarkEnd w:id="117"/>
      <w:bookmarkEnd w:id="118"/>
    </w:p>
    <w:p w14:paraId="56A777FB">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54FAFAC1">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立足兖州农业资源禀赋，提升农业产业发展水平，建设宜居宜业和美乡村，促进农民共同富裕，加快构建现代农业产业体系，推动农村基本具备现代生活条件，全面推进乡村振兴。</w:t>
      </w:r>
    </w:p>
    <w:p w14:paraId="5298032D">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19" w:name="_Toc14668"/>
      <w:bookmarkStart w:id="120" w:name="_Toc14364"/>
      <w:r>
        <w:rPr>
          <w:rFonts w:hint="default" w:ascii="Times New Roman" w:hAnsi="Times New Roman" w:eastAsia="方正黑体简体" w:cs="Times New Roman"/>
        </w:rPr>
        <w:t>第一章  推进现代农业高效发展</w:t>
      </w:r>
      <w:bookmarkEnd w:id="119"/>
      <w:bookmarkEnd w:id="120"/>
    </w:p>
    <w:p w14:paraId="721CFDD1">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深入实施国家粮食安全战略，践行大食物观，确保粮食及重要农产品供给，强化生产、储备、流通产业链、供应链建设，构建科学合理、安全高效的重要农产品供给保障体系。</w:t>
      </w:r>
    </w:p>
    <w:p w14:paraId="44AB122E">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21" w:name="_Toc28657"/>
      <w:r>
        <w:rPr>
          <w:rFonts w:hint="default" w:ascii="Times New Roman" w:hAnsi="Times New Roman" w:eastAsia="方正楷体简体" w:cs="Times New Roman"/>
          <w:bCs/>
        </w:rPr>
        <w:t>第一节  保障重要农产品供给</w:t>
      </w:r>
      <w:bookmarkEnd w:id="121"/>
    </w:p>
    <w:p w14:paraId="7C11A6E6">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藏粮于地、藏粮于技”，将稳定粮食产能作为保障粮食安全的根本基础，落实国家新一轮千亿斤粮食产能提升行动。严守耕地红线，严格落实耕地保护，进一步推进高标准农田建设，确保全区粮食播种面积稳定在69.6万亩以上，总产量达到34.4万吨以上，筑牢粮食安全底线。统筹抓好“菜篮子”工程，规划设施农业产业发展布局，提高现代高效农业空间保障，确保重要农产品有效供给。严格落实耕地占补平衡，坚决遏制耕地“非农化”、防止“非粮化”。建立健全农业生产防灾减灾体系，强化病虫害监测预警和一体化防控，完善农业气象服务和政策性保险机制，提高小麦、玉米等主要作物风险保障水平。</w:t>
      </w:r>
    </w:p>
    <w:p w14:paraId="2FA1725A">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22" w:name="_Toc15685"/>
      <w:r>
        <w:rPr>
          <w:rFonts w:hint="default" w:ascii="Times New Roman" w:hAnsi="Times New Roman" w:eastAsia="方正楷体简体" w:cs="Times New Roman"/>
          <w:bCs/>
        </w:rPr>
        <w:t>第二节  推进农业产业现代化</w:t>
      </w:r>
      <w:bookmarkEnd w:id="122"/>
    </w:p>
    <w:p w14:paraId="1EC14C88">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推动良田、良种、良法、良机、良制深度融合，促进粮食生产由增产向提质增效转变，加快农机装备更新换代，主要农作物耕种收综合机械化率稳定在97.3%以上。实施农业全链升级工程，以龙头企业为牵引、精深加工为核心、品牌建设为引擎，构建高效协同的现代乡村产业体系。实施龙头企业培优计划，围绕肉鸭、粮油加工等优势特色产业，支持企业延链强链。依托益海嘉里、今麦郎、白象、樱源食品等规上企业组建产业联盟，带动集群发展。构建“区域公用品牌+企业产品品牌”双轮驱动体系，重点培育“樱源肉鸭”“兖州生姜”等品牌，推动优质特色农产品纳入“好品山东”“齐鲁粮油”等省级品牌体系，提升产品溢价能力和市场竞争力。到“十五五”末，市级以上农业产业化龙头企业达到42家。</w:t>
      </w:r>
    </w:p>
    <w:p w14:paraId="2189CD37">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23" w:name="_Toc1406"/>
      <w:r>
        <w:rPr>
          <w:rFonts w:hint="default" w:ascii="Times New Roman" w:hAnsi="Times New Roman" w:eastAsia="方正楷体简体" w:cs="Times New Roman"/>
          <w:bCs/>
        </w:rPr>
        <w:t>第三节  推动农业科技创新和绿色发展</w:t>
      </w:r>
      <w:bookmarkEnd w:id="123"/>
    </w:p>
    <w:p w14:paraId="1654A509">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高标准推进农高区建设，聚焦蝴蝶兰全产业链、东亚钳蝎养殖、甘薯种植等优势产业，打造省级农业高新技术企业孵化器、区域性种质创制基地和科技转化平台，示范引领全区农业现代化发展。依托鲁研良种、红地种业等企业开展良种技术攻关，建设省级农作物品种试验站和20万亩高标准小麦良种繁育基地，推动“育繁推”协同发展。支持高等院校、科研院所设立研发基地，发挥清华大学乡村振兴工作站辐射作用，打造乡村振兴新高地。加强农业面源污染治理，大力推广秸秆还田、畜禽粪污资源化利用、节水灌溉、智能水肥一体化等技术，加快绿色、有机、地理标志和名特优新等优质农产品生产基地建设。“十五五”期间，全区种植业绿色、有机、地理标志农产品有效认证产品达到30个。</w:t>
      </w:r>
    </w:p>
    <w:p w14:paraId="68E5967A">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80" w:lineRule="exact"/>
        <w:textAlignment w:val="auto"/>
        <w:rPr>
          <w:rFonts w:hint="default" w:ascii="Times New Roman" w:hAnsi="Times New Roman" w:eastAsia="方正黑体简体" w:cs="Times New Roman"/>
        </w:rPr>
      </w:pPr>
      <w:bookmarkStart w:id="124" w:name="_Toc20052"/>
      <w:bookmarkStart w:id="125" w:name="_Toc12326"/>
      <w:r>
        <w:rPr>
          <w:rFonts w:hint="default" w:ascii="Times New Roman" w:hAnsi="Times New Roman" w:eastAsia="方正黑体简体" w:cs="Times New Roman"/>
        </w:rPr>
        <w:t>第二章  建设宜居宜业和美乡村</w:t>
      </w:r>
      <w:bookmarkEnd w:id="124"/>
      <w:bookmarkEnd w:id="125"/>
    </w:p>
    <w:p w14:paraId="78157EC6">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坚持片区化推进、组团式发展，以基础设施提档升级为支撑，以人居环境持续改善为重点，着力打造乡村振兴齐鲁样板引领区，建设具有兖州特色的宜居宜业和美乡村。</w:t>
      </w:r>
    </w:p>
    <w:p w14:paraId="4CE54471">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26" w:name="_Toc10853"/>
      <w:r>
        <w:rPr>
          <w:rFonts w:hint="default" w:ascii="Times New Roman" w:hAnsi="Times New Roman" w:eastAsia="方正楷体简体" w:cs="Times New Roman"/>
          <w:bCs/>
        </w:rPr>
        <w:t>第一节  提升标准片区建设</w:t>
      </w:r>
      <w:bookmarkEnd w:id="126"/>
    </w:p>
    <w:p w14:paraId="0E537680">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巩固建成片区建设成效，立足全区实际，积极融入全市“一区三带”总体布局，以“五大振兴”为目标任务，以片区村庄党建联合、资源整合、产业融合、人才聚合为抓手，深度整合泗河沿线新兖、兴隆庄、大安、酒仙桥4个市级乡村振兴片区55个村庄的自然资源、产业资源以及人文禀赋，高标准打造泗河乡村振兴示范带；做大做强大安粮油、颜店肉鸭循环经济产业片区以及新驿、小孟、漕河西北平原带粮食高产创建片区；围绕主城区、镇街工业园区周边，谋划做强新兖、颜店、兴隆庄等产城融合片区。总结形成一批可复制、可推广、可持续的片区建设模式，着力实现乡村全面振兴良好发展局面。</w:t>
      </w:r>
    </w:p>
    <w:p w14:paraId="70561D43">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27" w:name="_Toc116"/>
      <w:r>
        <w:rPr>
          <w:rFonts w:hint="default" w:ascii="Times New Roman" w:hAnsi="Times New Roman" w:eastAsia="方正楷体简体" w:cs="Times New Roman"/>
          <w:bCs/>
        </w:rPr>
        <w:t>第二节  推进和美乡村创建</w:t>
      </w:r>
      <w:bookmarkEnd w:id="127"/>
    </w:p>
    <w:p w14:paraId="6EDC269A">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以省、市级宜居宜业和美乡村创建为重点，顺应乡村人口变化趋势，按照整区推进、梯次创建、因村制宜、分类施策的原则，科学编制村庄规划。坚持“一村一品、一村一韵”，依托地理条件、产业基础和文化底蕴，加大传统村落保护力度，发展特色产业、塑造个性风貌，打造70个左右生态宜居、治理有效、产业兴旺、乡风文明的和美乡村。深化农村人居环境整治长效机制，巩固农村人居环境整治提升五年行动成果，推动农村基础设施提档升级，构建纵横贯通的农村交通体系。</w:t>
      </w:r>
    </w:p>
    <w:p w14:paraId="2C5A5D1C">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28" w:name="_Toc21903"/>
      <w:r>
        <w:rPr>
          <w:rFonts w:hint="default" w:ascii="Times New Roman" w:hAnsi="Times New Roman" w:eastAsia="方正楷体简体" w:cs="Times New Roman"/>
          <w:bCs/>
        </w:rPr>
        <w:t>第三节  壮大农村集体经济</w:t>
      </w:r>
      <w:bookmarkEnd w:id="128"/>
    </w:p>
    <w:p w14:paraId="42A1006E">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化农村集体产权制度改革，促进农村集体经济组织规范运行。稳妥推进土地第三轮延包，整治农村乱占耕地建设住宅类房屋。积极盘活农村闲置资源，探索出租、入股、合作等多元盘活路径，引导村集体因地制宜培育农产品加工、乡村旅游、农村电商等多元业态，发展新型农村集体经济。强化基层党组织引领作用，加强农村集体“三资”管理，健全村民议事、村务公开、财务监督等制度规范，推动集体经济高质量发展与乡村治理效能提升相互促进。</w:t>
      </w:r>
    </w:p>
    <w:p w14:paraId="140FE541">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80" w:lineRule="exact"/>
        <w:textAlignment w:val="auto"/>
        <w:rPr>
          <w:rFonts w:hint="default" w:ascii="Times New Roman" w:hAnsi="Times New Roman" w:eastAsia="方正黑体简体" w:cs="Times New Roman"/>
        </w:rPr>
      </w:pPr>
      <w:bookmarkStart w:id="129" w:name="_Toc8026"/>
      <w:bookmarkStart w:id="130" w:name="_Toc11490"/>
      <w:r>
        <w:rPr>
          <w:rFonts w:hint="default" w:ascii="Times New Roman" w:hAnsi="Times New Roman" w:eastAsia="方正黑体简体" w:cs="Times New Roman"/>
        </w:rPr>
        <w:t>第三章  巩固拓宽农民增收渠道</w:t>
      </w:r>
      <w:bookmarkEnd w:id="129"/>
      <w:bookmarkEnd w:id="130"/>
    </w:p>
    <w:p w14:paraId="7E4ACAB6">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把增加农民收入作为“三农”工作的中心任务，严格落实过渡期后帮扶政策，多渠道拓宽农民增收路径，稳步推进农村农民共同富裕。</w:t>
      </w:r>
    </w:p>
    <w:p w14:paraId="7B57DE5E">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31" w:name="_Toc14807"/>
      <w:r>
        <w:rPr>
          <w:rFonts w:hint="default" w:ascii="Times New Roman" w:hAnsi="Times New Roman" w:eastAsia="方正楷体简体" w:cs="Times New Roman"/>
          <w:bCs/>
        </w:rPr>
        <w:t>第一节  筑牢增收产业基础</w:t>
      </w:r>
      <w:bookmarkEnd w:id="131"/>
    </w:p>
    <w:p w14:paraId="34019ACC">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党组织引领，统筹资源力量，不断提升乡村振兴片区建设效能。适应农村人口流动和农业劳动力结构性特点，引导土地规范有序流转，重点扶持家庭农场、农民专业合作社等新型农业经营主体，推动专业化、集约化发展。深入实施农村产业融合发展项目，推动农业与文旅、教育、康养等深度融合，拓展休闲农业、科普研学等新业态。探索资源开发、产业带动、服务创收等多元路径，盘活集体资产。深入挖掘小麦育种、生姜辣椒种植储存等产业特色，打造区域品牌，扩大产业规模，延伸“种植－加工－销售”全产业链，形成片区化经营格局。积极探索乡村运营利益联结新机制、新路径，推动成立一批乡村运营公司、共富工坊，优化产业链条，拓展品牌效应，带动片区抱团发展、连片振兴。</w:t>
      </w:r>
    </w:p>
    <w:p w14:paraId="324B54D0">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32" w:name="_Toc18740"/>
      <w:r>
        <w:rPr>
          <w:rFonts w:hint="default" w:ascii="Times New Roman" w:hAnsi="Times New Roman" w:eastAsia="方正楷体简体" w:cs="Times New Roman"/>
          <w:bCs/>
        </w:rPr>
        <w:t>第二节  提升就业创业质量</w:t>
      </w:r>
      <w:bookmarkEnd w:id="132"/>
    </w:p>
    <w:p w14:paraId="157B71CF">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精准对接优势产业集群与标志性产业链人才需求，因地制宜开展农民职业技能培训，促进农民从体力劳动向技能劳动转型增收。加大以工代赈项目实施力度，在重点工程项目和农业农村基础设施建设领域积极推广以工代赈，为农民灵活就业提供保障。完善返乡入乡创业支持政策，落实创业担保贷款、税费减免等措施，鼓励更多“乡村振兴带头人”创办家庭工场、乡村车间、合作社等经营实体，打造良好的农村创业场景，形成创业带动就业的良性循环。完善城乡融合发展体制机制，促进城乡要素平等交换、双向流动，缩小城乡差别，促进城乡共同繁荣发展。全面落实户籍制度改革，保障农民工等非户籍常住人口均等享有基本公共服务，促进农业转移人口市民化。</w:t>
      </w:r>
    </w:p>
    <w:p w14:paraId="2B86EAEC">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33" w:name="_Toc27475"/>
      <w:r>
        <w:rPr>
          <w:rFonts w:hint="default" w:ascii="Times New Roman" w:hAnsi="Times New Roman" w:eastAsia="方正楷体简体" w:cs="Times New Roman"/>
          <w:bCs/>
        </w:rPr>
        <w:t>第三节  巩固脱贫攻坚成果</w:t>
      </w:r>
      <w:bookmarkEnd w:id="133"/>
    </w:p>
    <w:p w14:paraId="577D73B2">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鼓励龙头企业与农户建立“订单收购+二次返利”“保底收益+按股分红”等紧密合作模式，支持村集体以资源资产入股优质涉农项目，发展“党支部+合作社+村民”等合作形式，让农民稳定分享产业增值收益。落实过渡期后帮扶政策“大稳定、小调整”要求，保持财政、金融等支持政策总体稳定，统筹建立常态化防止返贫致贫机制。健全分层分类的社会救助体系，对低收入农户实施“一户一策”精准帮扶。持续改善农村基础设施，提升公共服务水平，推动各类资源要素向重点区域倾斜。引导金融资源更多投向农业农村，完善涉农信贷服务机制，创新信用贷款、产业链金融等产品，积极争取政策性资金和贴息贷款支持，助力群众迈向共同富裕。</w:t>
      </w:r>
      <w:bookmarkStart w:id="134" w:name="_Toc1144"/>
    </w:p>
    <w:p w14:paraId="5C8A5C2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sectPr>
          <w:footerReference r:id="rId11" w:type="default"/>
          <w:pgSz w:w="11906" w:h="16838"/>
          <w:pgMar w:top="2155" w:right="1588" w:bottom="1304" w:left="1588" w:header="1361" w:footer="1418" w:gutter="0"/>
          <w:cols w:space="425" w:num="1"/>
          <w:docGrid w:type="linesAndChars" w:linePitch="312" w:charSpace="0"/>
        </w:sectPr>
      </w:pPr>
    </w:p>
    <w:bookmarkEnd w:id="134"/>
    <w:p w14:paraId="652A165F">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7F838801">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简体" w:cs="Times New Roman"/>
          <w:spacing w:val="-6"/>
          <w:sz w:val="36"/>
          <w:szCs w:val="36"/>
        </w:rPr>
      </w:pPr>
      <w:bookmarkStart w:id="135" w:name="_Toc3651"/>
      <w:r>
        <w:rPr>
          <w:rFonts w:hint="default" w:ascii="Times New Roman" w:hAnsi="Times New Roman" w:eastAsia="方正小标宋简体" w:cs="Times New Roman"/>
          <w:spacing w:val="-6"/>
          <w:sz w:val="36"/>
          <w:szCs w:val="36"/>
        </w:rPr>
        <w:t>第九篇  深入推进文化“两创”，提升精神文明建设水平</w:t>
      </w:r>
      <w:bookmarkEnd w:id="135"/>
    </w:p>
    <w:p w14:paraId="5C8FDC4C">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45D6A02C">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定扛牢新时代文化使命，立足兖州文化资源富集、人文沃土丰厚的比较优势，以“九州福地·端信兖州”为核心品牌，系统推进文脉赓续、业态融合与片区打造，促进文化繁荣与旅游兴盛相互赋能，加快建设新时代文化强区。</w:t>
      </w:r>
    </w:p>
    <w:p w14:paraId="1E979DCD">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36" w:name="_Toc32615"/>
      <w:bookmarkStart w:id="137" w:name="_Toc15767"/>
      <w:bookmarkStart w:id="138" w:name="_Toc23479"/>
      <w:r>
        <w:rPr>
          <w:rFonts w:hint="default" w:ascii="Times New Roman" w:hAnsi="Times New Roman" w:eastAsia="方正黑体简体" w:cs="Times New Roman"/>
        </w:rPr>
        <w:t>第一章  践行社会主义核心价值观</w:t>
      </w:r>
      <w:bookmarkEnd w:id="136"/>
      <w:bookmarkEnd w:id="137"/>
      <w:bookmarkEnd w:id="138"/>
    </w:p>
    <w:p w14:paraId="1FBC1235">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深入开展社会主义核心价值观宣传教育，筑牢意识形态阵地，创新运用中华优秀传统文化开展政德教育，持续巩固文明城市创建成果，不断提升全区精神文明建设水平。</w:t>
      </w:r>
    </w:p>
    <w:p w14:paraId="12E0BEBB">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39" w:name="_Toc27001"/>
      <w:bookmarkStart w:id="140" w:name="_Toc6658"/>
      <w:r>
        <w:rPr>
          <w:rFonts w:hint="default" w:ascii="Times New Roman" w:hAnsi="Times New Roman" w:eastAsia="方正楷体简体" w:cs="Times New Roman"/>
          <w:bCs/>
        </w:rPr>
        <w:t>第一节  巩固壮大主流</w:t>
      </w:r>
      <w:bookmarkEnd w:id="139"/>
      <w:r>
        <w:rPr>
          <w:rFonts w:hint="default" w:ascii="Times New Roman" w:hAnsi="Times New Roman" w:eastAsia="方正楷体简体" w:cs="Times New Roman"/>
          <w:bCs/>
        </w:rPr>
        <w:t>思想舆论</w:t>
      </w:r>
      <w:bookmarkEnd w:id="140"/>
    </w:p>
    <w:p w14:paraId="502AE8E4">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入开展习近平新时代中国特色社会主义思想传播工程，夯实思想理论根基。加强和改进思想政治工作，常态化开展理想信念、爱国主义、全民国防教育。纵深推进“五史”宣传，推动兖州战役纪念馆等红色资源的深度利用与发展。巩固壮大主流舆论阵地，推出一批体现兖州特色、展现时代风貌、群众喜闻乐见的新闻作品。依托牛运震事迹展览中心、四乡师红色教育基地等文化资源，推动优秀传统文化融入干部政德建设。压紧压实意识形态工作责任制，加强突发事件和社会热点问题舆论引导，坚决守牢意识形态安全防线。</w:t>
      </w:r>
    </w:p>
    <w:p w14:paraId="09BED709">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41" w:name="_Toc11494"/>
      <w:bookmarkStart w:id="142" w:name="_Toc20192"/>
      <w:r>
        <w:rPr>
          <w:rFonts w:hint="default" w:ascii="Times New Roman" w:hAnsi="Times New Roman" w:eastAsia="方正楷体简体" w:cs="Times New Roman"/>
          <w:bCs/>
        </w:rPr>
        <w:t>第二节  提升精神文明建设水平</w:t>
      </w:r>
      <w:bookmarkEnd w:id="141"/>
      <w:bookmarkEnd w:id="142"/>
    </w:p>
    <w:p w14:paraId="100945D4">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6"/>
          <w:sz w:val="32"/>
        </w:rPr>
      </w:pPr>
      <w:r>
        <w:rPr>
          <w:rFonts w:hint="default" w:ascii="Times New Roman" w:hAnsi="Times New Roman" w:eastAsia="方正仿宋简体" w:cs="Times New Roman"/>
          <w:spacing w:val="6"/>
          <w:sz w:val="32"/>
        </w:rPr>
        <w:t>统筹推动文明培育、文明实践、文明创建。深化美德兖州和信用兖州一体化建设，加强家庭家教家风建设，实施“家家幸福安康工程”升级版。积极开展“道德模范”“身边好人”等先进典型学习宣传。拓展新时代文明实践中心（所、站）功能，试点推动文化社区（文化书院）建设，常态化开展文明实践活动，深化新时代新礼仪改革，振兴传统节日，提升“‘兖’之有礼”品牌影响力。巩固文明城市创建成果，推进城乡精神文明建设融合发展，深化文明乡风建设和农村移风易俗。推动“端信”信用体系建设，将信用机制深度融入政务、商务、社会、司法等各个领域，全面推行“信用+村庄治理”“信用+志愿服务”等管理模式。</w:t>
      </w:r>
    </w:p>
    <w:p w14:paraId="7DCA8383">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43" w:name="_Toc30197"/>
      <w:r>
        <w:rPr>
          <w:rFonts w:hint="default" w:ascii="Times New Roman" w:hAnsi="Times New Roman" w:eastAsia="方正楷体简体" w:cs="Times New Roman"/>
          <w:bCs/>
        </w:rPr>
        <w:t>第三节  打造“端信兖州”文化品牌</w:t>
      </w:r>
      <w:bookmarkEnd w:id="143"/>
    </w:p>
    <w:p w14:paraId="2C0B553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系统梳理与阐释“端信”文化，深入挖掘大禹文化、李杜文化、九州文化等本土历史人文资源中的端信元素，编撰端信文化教材，鼓励创作生产一批端信主题的文艺精品和媒体作品，讲好“端信”故事。将“端信”理念融入城市发展，规划建设一批主题城市广场、公园、街巷，将端信文化植入各类生活场景。创新“端信”文化传播载体，打造“端信讲堂”，提升“端信书屋”，营造“全民阅读、满城书香”的浓厚氛围。推进“端信”文化数字化表达，依托泗河景观带沿线文物古迹与名人故事打造特色文化长廊，创排数字光影秀等新型文化体验项目。</w:t>
      </w:r>
    </w:p>
    <w:p w14:paraId="3AC776BC">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44" w:name="_Toc19662"/>
      <w:bookmarkStart w:id="145" w:name="_Toc29292"/>
      <w:bookmarkStart w:id="146" w:name="_Toc12505"/>
      <w:r>
        <w:rPr>
          <w:rFonts w:hint="default" w:ascii="Times New Roman" w:hAnsi="Times New Roman" w:eastAsia="方正黑体简体" w:cs="Times New Roman"/>
        </w:rPr>
        <w:t xml:space="preserve">第二章  </w:t>
      </w:r>
      <w:bookmarkEnd w:id="144"/>
      <w:r>
        <w:rPr>
          <w:rFonts w:hint="default" w:ascii="Times New Roman" w:hAnsi="Times New Roman" w:eastAsia="方正黑体简体" w:cs="Times New Roman"/>
        </w:rPr>
        <w:t>塑强兖州特色文旅</w:t>
      </w:r>
      <w:bookmarkEnd w:id="145"/>
      <w:r>
        <w:rPr>
          <w:rFonts w:hint="default" w:ascii="Times New Roman" w:hAnsi="Times New Roman" w:eastAsia="方正黑体简体" w:cs="Times New Roman"/>
        </w:rPr>
        <w:t>产业</w:t>
      </w:r>
      <w:bookmarkEnd w:id="146"/>
    </w:p>
    <w:p w14:paraId="45098BAB">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立足特色文化资源和文物古迹，推动文化资源从静态展示向沉浸式体验转型，探索“产景城”融合发展新路径，将兖州打造成为“奔县游”首选、优选目的地。</w:t>
      </w:r>
    </w:p>
    <w:p w14:paraId="0FB3DF54">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47" w:name="_Toc22709"/>
      <w:bookmarkStart w:id="148" w:name="_Toc11313"/>
      <w:r>
        <w:rPr>
          <w:rFonts w:hint="default" w:ascii="Times New Roman" w:hAnsi="Times New Roman" w:eastAsia="方正楷体简体" w:cs="Times New Roman"/>
          <w:bCs/>
        </w:rPr>
        <w:t xml:space="preserve">第一节  </w:t>
      </w:r>
      <w:bookmarkEnd w:id="147"/>
      <w:r>
        <w:rPr>
          <w:rFonts w:hint="default" w:ascii="Times New Roman" w:hAnsi="Times New Roman" w:eastAsia="方正楷体简体" w:cs="Times New Roman"/>
          <w:bCs/>
        </w:rPr>
        <w:t>加强文化遗产保护传承与利用</w:t>
      </w:r>
      <w:bookmarkEnd w:id="148"/>
    </w:p>
    <w:p w14:paraId="6051FB6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保护第一、强化管理、挖掘价值、有效利用，挖掘和活化明清鲁地文化，系统性讲述近现代历史文化变迁。健全文物保护与传承机制，强化天主教堂整体性保护，加强中山西路古民居、汤郡马府保护利用，多维度展示近现代建筑艺术；深掘郑氏庄园运河文化内涵，通过“文化+体验”模式，打造集文化体验、消费升级、乡村振兴于一体的文旅项目；推进西吴寺遗址、天主教堂、郑氏庄园等重点文物保护单位三防体系建设，统筹市县文物和未定级文物修缮保护。加强不可移动文物数字化保护、预防性保护工作，推进“博物馆+N”融合发展，争创“国家一级馆”。完善非物质文化遗产保护体系，挖掘整理区域特色非遗项目，建设非遗工坊和体验基地。注重保护历史文脉，加强地名文化遗产的系统性保护与传承。</w:t>
      </w:r>
    </w:p>
    <w:p w14:paraId="239B6C9E">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49" w:name="_Toc20443"/>
      <w:bookmarkStart w:id="150" w:name="_Toc16591"/>
      <w:r>
        <w:rPr>
          <w:rFonts w:hint="default" w:ascii="Times New Roman" w:hAnsi="Times New Roman" w:eastAsia="方正楷体简体" w:cs="Times New Roman"/>
          <w:bCs/>
        </w:rPr>
        <w:t xml:space="preserve">第二节  </w:t>
      </w:r>
      <w:bookmarkEnd w:id="149"/>
      <w:r>
        <w:rPr>
          <w:rFonts w:hint="default" w:ascii="Times New Roman" w:hAnsi="Times New Roman" w:eastAsia="方正楷体简体" w:cs="Times New Roman"/>
          <w:bCs/>
        </w:rPr>
        <w:t>构建全域旅游发展新格局</w:t>
      </w:r>
      <w:bookmarkEnd w:id="150"/>
    </w:p>
    <w:p w14:paraId="2DFC83E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按照“城乡统筹、景城一体”理念，加大资源资产整合力度，构建“一核引领、两带联动、多点绽放”的全域旅游新格局。以中心城区为核心，通过合作赋能实现兴隆文化园东、西区联动运营，强化文化展示与休闲体验，加快发展端信里、狄家街、乔家街等文化街区，打造文旅综合服务核。依托东部泗河景观带，推进金口坝片区、公园湿地运营、牛楼二期等节点项目，打造数字文博、水岸营地、特色小镇等多元业态，发展空中观光、低空运动等体验项目；依托大安山拖农场村研学基地，西部颜店史村田缘、漕河麦香管口、新驿及小孟农耕民俗等乡村旅游资源，打造特色乡村旅游带，鼓励改造提升闲置房屋、废弃校舍、旧厂房，建设乡艺工坊，定制开发农旅休闲产品，培育有影响力的乡村旅游项目和节庆品牌。支持文商旅、文体旅、工业旅游融合发展，做优“寻味烟火”场景，叫响“兖之好礼”品牌。健全文化企业培育机制，支持龙头企业和数字化标杆企业发展壮大，增强文旅产业综合实力与市场竞争力。到2030年，全区年重点景区接待游客突破300万人次，旅游收入达到9000万元。</w:t>
      </w:r>
    </w:p>
    <w:p w14:paraId="567ADBF6">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51" w:name="_Toc28698"/>
      <w:bookmarkStart w:id="152" w:name="_Toc11034"/>
      <w:bookmarkStart w:id="153" w:name="_Toc3825"/>
      <w:r>
        <w:rPr>
          <w:rFonts w:hint="default" w:ascii="Times New Roman" w:hAnsi="Times New Roman" w:eastAsia="方正黑体简体" w:cs="Times New Roman"/>
        </w:rPr>
        <w:t xml:space="preserve">第三章  </w:t>
      </w:r>
      <w:bookmarkEnd w:id="151"/>
      <w:bookmarkEnd w:id="152"/>
      <w:r>
        <w:rPr>
          <w:rFonts w:hint="default" w:ascii="Times New Roman" w:hAnsi="Times New Roman" w:eastAsia="方正黑体简体" w:cs="Times New Roman"/>
        </w:rPr>
        <w:t>健全现代公共文化服务</w:t>
      </w:r>
      <w:bookmarkEnd w:id="153"/>
    </w:p>
    <w:p w14:paraId="6F35378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实施公共文化服务效能提升行动，构建覆盖城乡、便捷高效、均等普惠的现代公共文化服务体系，丰富人民群众精神文化生活。</w:t>
      </w:r>
    </w:p>
    <w:p w14:paraId="1D45B384">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54" w:name="_Toc23355"/>
      <w:bookmarkStart w:id="155" w:name="_Toc24779"/>
      <w:r>
        <w:rPr>
          <w:rFonts w:hint="default" w:ascii="Times New Roman" w:hAnsi="Times New Roman" w:eastAsia="方正楷体简体" w:cs="Times New Roman"/>
          <w:bCs/>
        </w:rPr>
        <w:t xml:space="preserve">第一节 </w:t>
      </w:r>
      <w:bookmarkEnd w:id="154"/>
      <w:r>
        <w:rPr>
          <w:rFonts w:hint="default" w:ascii="Times New Roman" w:hAnsi="Times New Roman" w:eastAsia="方正楷体简体" w:cs="Times New Roman"/>
          <w:bCs/>
        </w:rPr>
        <w:t xml:space="preserve"> 实施文化惠民工程</w:t>
      </w:r>
      <w:bookmarkEnd w:id="155"/>
    </w:p>
    <w:p w14:paraId="794E91E7">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完善区镇村三级公共文化服务基础设施，推进一站多用、一室多用，提升市民文化中心“图书馆”“文化馆”场馆功能和市场化运营水平，打造区域文化新地标。创新公共文化服务供给机制，鼓励社会力量参与城乡书房、文化驿站等新型空间布局，打造“15分钟公共文化服务圈”。持续推进文化惠民工程，发挥全区“小剧场”“文化书院”“蒲公英夜堂”等阵地作用，推动优质资源精准下沉，实现公共文化服务常态化、精准化供给。</w:t>
      </w:r>
    </w:p>
    <w:p w14:paraId="3BACF4FD">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56" w:name="_Toc21995"/>
      <w:r>
        <w:rPr>
          <w:rFonts w:hint="default" w:ascii="Times New Roman" w:hAnsi="Times New Roman" w:eastAsia="方正楷体简体" w:cs="Times New Roman"/>
          <w:bCs/>
        </w:rPr>
        <w:t>第二节  大力发展体育事业</w:t>
      </w:r>
      <w:bookmarkEnd w:id="156"/>
    </w:p>
    <w:p w14:paraId="3B824CB3">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sectPr>
          <w:pgSz w:w="11906" w:h="16838"/>
          <w:pgMar w:top="2155" w:right="1588" w:bottom="1304" w:left="1588" w:header="1361" w:footer="1418" w:gutter="0"/>
          <w:cols w:space="425" w:num="1"/>
          <w:docGrid w:type="linesAndChars" w:linePitch="312" w:charSpace="0"/>
        </w:sectPr>
      </w:pPr>
      <w:r>
        <w:rPr>
          <w:rFonts w:hint="default" w:ascii="Times New Roman" w:hAnsi="Times New Roman" w:eastAsia="方正仿宋简体" w:cs="Times New Roman"/>
        </w:rPr>
        <w:t>落实国家全民健身战略，推动全民健身活动深入开展。加强全民健身设施和场地规划建设，完善镇街、村居全民健身工程和体育公园布局，系统性更新室外健身器材。做强“兖BA”等特色品牌赛事，广泛开展全民健身运动会、社区运动会等群众性体育活动。推动文体商旅融合发展，将体育赛事活动打造为促进消费、展示城市形象的重要平台。到2030年，人均体育场地面积达到2.8平方米，带动全区经常参加体育锻炼人数占比提升至45%。</w:t>
      </w:r>
    </w:p>
    <w:p w14:paraId="558AA483">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57" w:name="_Toc18572"/>
    </w:p>
    <w:p w14:paraId="5CBFB7D8">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58" w:name="_Toc6197"/>
      <w:r>
        <w:rPr>
          <w:rFonts w:hint="default" w:ascii="Times New Roman" w:hAnsi="Times New Roman" w:eastAsia="方正小标宋_GBK" w:cs="Times New Roman"/>
          <w:sz w:val="36"/>
          <w:szCs w:val="36"/>
        </w:rPr>
        <w:t>第十篇  持续增进民生福祉，聚力提高人民生活品质</w:t>
      </w:r>
      <w:bookmarkEnd w:id="157"/>
      <w:bookmarkEnd w:id="158"/>
    </w:p>
    <w:p w14:paraId="61E44997">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7CB7F31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坚持人民至上，聚焦全生命周期民生服务，加强普惠性、基础性、兜底性民生工程建设，构建优质均衡公共服务体系，让现代化建设成果更多更公平惠及全体人民。</w:t>
      </w:r>
    </w:p>
    <w:p w14:paraId="7C87BECC">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59" w:name="_Toc1865"/>
      <w:bookmarkStart w:id="160" w:name="_Toc27878"/>
      <w:r>
        <w:rPr>
          <w:rFonts w:hint="default" w:ascii="Times New Roman" w:hAnsi="Times New Roman" w:eastAsia="方正黑体简体" w:cs="Times New Roman"/>
        </w:rPr>
        <w:t>第一章  实施就业优先战略</w:t>
      </w:r>
      <w:bookmarkEnd w:id="159"/>
      <w:bookmarkEnd w:id="160"/>
    </w:p>
    <w:p w14:paraId="165F9709">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坚持把促进就业放在民生首位，着力扩大容量、提升质量、保障权益，推动形成就业扩容与居民增收互促共进的良性循环。</w:t>
      </w:r>
    </w:p>
    <w:p w14:paraId="321CFC32">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61" w:name="_Toc1894"/>
      <w:r>
        <w:rPr>
          <w:rFonts w:hint="default" w:ascii="Times New Roman" w:hAnsi="Times New Roman" w:eastAsia="方正楷体简体" w:cs="Times New Roman"/>
          <w:bCs/>
        </w:rPr>
        <w:t>第一节  全力稳定扩大就业</w:t>
      </w:r>
      <w:bookmarkEnd w:id="161"/>
    </w:p>
    <w:p w14:paraId="14EFC5CB">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紧密对接优势产业集群与14条标志性产业链人才需求，持续开展“名校直通车”“燕归巢”“周四直通车”等品牌引才活动，推广“零工早市、人才夜市、岗位超市、招聘集市”四市联动模式，每年组织线上线下招聘活动100场次以上、实现城镇新增就业4000人以上。有序支持网络零售、在线教育等新就业形态，创造更多灵活就业岗位。优化创业贷款、创业补贴“一站式”服务，加强创业担保贷款政策支持，营造鼓励创业、创业带动就业的良好社会氛围。积极推广以工代赈方式，推动先进制造业、现代服务业、银发经济等领域开发更多高质量岗位。</w:t>
      </w:r>
    </w:p>
    <w:p w14:paraId="385E1F9D">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62" w:name="_Toc4467"/>
      <w:r>
        <w:rPr>
          <w:rFonts w:hint="default" w:ascii="Times New Roman" w:hAnsi="Times New Roman" w:eastAsia="方正楷体简体" w:cs="Times New Roman"/>
          <w:bCs/>
        </w:rPr>
        <w:t>第二节  提升就业服务效能</w:t>
      </w:r>
      <w:bookmarkEnd w:id="162"/>
    </w:p>
    <w:p w14:paraId="19A82D84">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化“15分钟就业服务圈+一刻钟便民生活圈”融合建设，做强“职等你来”“端信就业”“大禹工匠”品牌。争创全省“数智就业”服务区试点，建立动态更新的万级岗位资源池和人才画像库。推进“社区微业”专项行动和农村劳动力就业集成改革，服务群众“家门口”就业。健全失业人员常住地就业服务机制，确保零就业家庭动态清零。实施青年就业促进行动，加强对农民工、困难人员的就业援助。落实“技能照亮前程”专项培训，提升劳动者就业竞争力与岗位适配度。</w:t>
      </w:r>
    </w:p>
    <w:p w14:paraId="7B2465DA">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63" w:name="_Toc15573"/>
      <w:r>
        <w:rPr>
          <w:rFonts w:hint="default" w:ascii="Times New Roman" w:hAnsi="Times New Roman" w:eastAsia="方正楷体简体" w:cs="Times New Roman"/>
          <w:bCs/>
        </w:rPr>
        <w:t>第三节  构建和谐劳动关系</w:t>
      </w:r>
      <w:bookmarkEnd w:id="163"/>
    </w:p>
    <w:p w14:paraId="09F5D9CF">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完善劳动关系治理体系，加强灵活就业和新业态群体劳动权益保障，全面推进新业态人员职业伤害保障工作。加强职业病防治体系建设，提升职业健康保护水平。深化欠薪和劳动争议治理工作，构建矛盾纠纷多元化解机制。创新开展劳动人事争议仲裁、监察联合调解，深化要素式办案改革，依法打击侵害劳动者权益行为，力争劳动人事争议调解成功率达到60%以上，仲裁结案率稳定在90%以上，依法维护劳动者合法权益，营造公平正义的就业环境。</w:t>
      </w:r>
    </w:p>
    <w:p w14:paraId="081E848A">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64" w:name="_Toc22712"/>
      <w:bookmarkStart w:id="165" w:name="_Toc25605"/>
      <w:r>
        <w:rPr>
          <w:rFonts w:hint="default" w:ascii="Times New Roman" w:hAnsi="Times New Roman" w:eastAsia="方正黑体简体" w:cs="Times New Roman"/>
        </w:rPr>
        <w:t>第二章  办好人民满意教育</w:t>
      </w:r>
      <w:bookmarkEnd w:id="164"/>
      <w:bookmarkEnd w:id="165"/>
    </w:p>
    <w:p w14:paraId="54FA79A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围绕“全国有影响、省内有名次”教育名区建设目标，聚焦立德树人、扩优提质、铸魂强师等重点任务，推动全区教育高质量发展。</w:t>
      </w:r>
    </w:p>
    <w:p w14:paraId="4B92BB69">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66" w:name="_Toc8355"/>
      <w:r>
        <w:rPr>
          <w:rFonts w:hint="default" w:ascii="Times New Roman" w:hAnsi="Times New Roman" w:eastAsia="方正楷体简体" w:cs="Times New Roman"/>
          <w:bCs/>
        </w:rPr>
        <w:t>第一节  构建全面育人长效体系</w:t>
      </w:r>
      <w:bookmarkEnd w:id="166"/>
    </w:p>
    <w:p w14:paraId="71EAF803">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全面落实立德树人根本任务，深化“红耀教育·争当旗帜”党建品牌引领，打造具有兖州特色的德育品牌矩阵。深入实施“体育强身、美育浸润、劳动砺行”专项行动，建设市级中小学劳动教育示范校和实践基地。建强用好少年科学院，完善拔尖创新人才贯通培养机制，推动科技教育与人文教育协同发展。深入推进山东省义务教育教学改革实验区和教育评价改革实验基地建设，打造新时代育人高地。加强教研员和教师队伍建设，深化“区管校聘”管理改革，探索实施“银龄讲学计划”，建立与学龄人口变化相适应的师资统筹调配机制，深化教师培养“三兖三航”行动计划，推进“三名工程”建设，着力培养一批骨干教师和教育名家。</w:t>
      </w:r>
    </w:p>
    <w:p w14:paraId="12673592">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67" w:name="_Toc2476"/>
      <w:r>
        <w:rPr>
          <w:rFonts w:hint="default" w:ascii="Times New Roman" w:hAnsi="Times New Roman" w:eastAsia="方正楷体简体" w:cs="Times New Roman"/>
          <w:bCs/>
        </w:rPr>
        <w:t>第二节  促进教育资源优质均衡</w:t>
      </w:r>
      <w:bookmarkEnd w:id="167"/>
    </w:p>
    <w:p w14:paraId="796B74AD">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扩大普惠性学前教育资源供给，大力发展公办幼儿园，落实普惠性民办幼儿园扶持政策，逐步推行免费学前教育。加快义务教育优质均衡发展，探索小班化教学模式，深化集团化办学和教育共同体建设，缩小城乡、校际差距。科学规划学校布局，统筹推进城乡教育资源均衡配置，建强镇中心校，完善城乡学校基础设施，确保学位供给与人口发展相适应。改善高中学校办学条件，确保全区普通高中入学率稳定在75%以上，支持4所普通高中完成省市级特色高中和学科基地建设。健全特殊教育保障机制，促进特殊教育与普通教育、职业教育、医疗康复融合发展。</w:t>
      </w:r>
    </w:p>
    <w:p w14:paraId="523353CB">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68" w:name="_Toc4499"/>
      <w:r>
        <w:rPr>
          <w:rFonts w:hint="default" w:ascii="Times New Roman" w:hAnsi="Times New Roman" w:eastAsia="方正楷体简体" w:cs="Times New Roman"/>
          <w:bCs/>
        </w:rPr>
        <w:t>第三节  增强教育服务发展能力</w:t>
      </w:r>
      <w:bookmarkEnd w:id="168"/>
    </w:p>
    <w:p w14:paraId="01BFE52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化产教融合、职普融通，实施兖州职业教育扩容提质行动，力争济宁工业技师学院纳入高等院校序列。依托济宁市工业技师学院，与龙头企业共建实训基地，推广“校中厂”“厂中校”及订单式、定向式培养模式。建成新能源与智能制造两大特色专业，探索“3+4”中职—本科贯通培养模式，试点大学生预备技师班。全面推进企业技能人才自主评价和“新八级工”制度，拓宽产业工人发展通道。建强“双师型”队伍，支持院校教师企业实践，聘请企业高技能人才兼任专业课教师。加强高技能人才梯队式培养，打造省级技能大赛集训基地，发挥技能竞赛、企业自主评价等作用，为绿色低碳高质量发展提供技能人才支撑。</w:t>
      </w:r>
    </w:p>
    <w:p w14:paraId="29A92189">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69" w:name="_Toc9424"/>
      <w:bookmarkStart w:id="170" w:name="_Toc4548"/>
      <w:r>
        <w:rPr>
          <w:rFonts w:hint="default" w:ascii="Times New Roman" w:hAnsi="Times New Roman" w:eastAsia="方正黑体简体" w:cs="Times New Roman"/>
        </w:rPr>
        <w:t>第三章  健全社会保障</w:t>
      </w:r>
      <w:bookmarkEnd w:id="169"/>
      <w:r>
        <w:rPr>
          <w:rFonts w:hint="default" w:ascii="Times New Roman" w:hAnsi="Times New Roman" w:eastAsia="方正黑体简体" w:cs="Times New Roman"/>
        </w:rPr>
        <w:t>体系</w:t>
      </w:r>
      <w:bookmarkEnd w:id="170"/>
    </w:p>
    <w:p w14:paraId="168F6F37">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坚持权责清晰、保障适度、应保尽保原则，加快构建覆盖全民、统筹城乡、公平统一、安全规范、可持续的多层次社会保障体系，切实兜住兜准兜牢民生底线。</w:t>
      </w:r>
    </w:p>
    <w:p w14:paraId="28D0EA34">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71" w:name="_Toc26288"/>
      <w:r>
        <w:rPr>
          <w:rFonts w:hint="default" w:ascii="Times New Roman" w:hAnsi="Times New Roman" w:eastAsia="方正楷体简体" w:cs="Times New Roman"/>
          <w:bCs/>
        </w:rPr>
        <w:t>第一节  筑牢社会保障制度基石</w:t>
      </w:r>
      <w:bookmarkEnd w:id="171"/>
    </w:p>
    <w:p w14:paraId="62873344">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落实基本养老保险全国统筹，稳步扩大社会保险覆盖面，精准推进灵活就业人员、农民工、新业态从业人员等重点群体参保。完善城乡居民基本养老保险制度，逐步提高基础养老金水平。健全多层次医疗保障体系，落实基本医疗保险省级统筹。健全社保基金监管机制，确保基金安全可持续运行。构建“物质+服务”综合救助模式，完善“政府救助+慈善帮扶+社会力量参与”联动机制，深化“兖周救”品牌建设，实现救助事项“掌上办”“即时办”。深化“三人三扶三到位”民生服务模式，促进公益慈善事业规范健康发展，鼓励引导社会组织、慈善力量等积极参与社会帮扶。</w:t>
      </w:r>
    </w:p>
    <w:p w14:paraId="284B1E5F">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72" w:name="_Toc20447"/>
      <w:r>
        <w:rPr>
          <w:rFonts w:hint="default" w:ascii="Times New Roman" w:hAnsi="Times New Roman" w:eastAsia="方正楷体简体" w:cs="Times New Roman"/>
          <w:bCs/>
        </w:rPr>
        <w:t>第二节  提升重点群体服务保障</w:t>
      </w:r>
      <w:bookmarkEnd w:id="172"/>
    </w:p>
    <w:p w14:paraId="3CF6A56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加强“一老一小”服务供给，构建居家社区机构相协调、医养康养相结合的养老服务体系，发展社区嵌入式护理机构，城市社区设施配建达标率100%，养老机构护理型床位占比提升至90%以上。贯彻落实生育和婴幼儿照护支持政策，扩大普惠托育供给，构建覆盖0-6岁、医育融合的高质量服务体系，推进生育友好、儿童友好型社会建设。完善特殊群体保障，提升困境儿童关爱服务水平，健全未成年人救助保护“区镇村”三级网络。完善青年发展促进政策，加快建设青年发展型城市。加强退役军人服务保障，全面落实各类安置、优抚待遇。提升残疾人福利保障水平，强化残疾人“两项补贴”动态管理。健全基本殡葬服务制度，推进城乡公益性设施建设，持续完善殡葬服务供给。</w:t>
      </w:r>
    </w:p>
    <w:p w14:paraId="319667EF">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73" w:name="_Toc25388"/>
      <w:r>
        <w:rPr>
          <w:rFonts w:hint="default" w:ascii="Times New Roman" w:hAnsi="Times New Roman" w:eastAsia="方正楷体简体" w:cs="Times New Roman"/>
          <w:bCs/>
        </w:rPr>
        <w:t>第三节  优化社会保障服务供给</w:t>
      </w:r>
      <w:bookmarkEnd w:id="173"/>
    </w:p>
    <w:p w14:paraId="331E4A51">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化医保支付方式改革，推广智慧社保、医保平台应用。健全社会保险经办服务体系，推进“互联网+社保”建设，提升服务便捷性。建立统一的社会保障公共服务平台，实现数据共享和业务协同。健全商业保险协同保障机制，引导社会力量参与服务供给，构建多层次、多维度保险体系。完善社会保障领域信用体系建设，提升管理服务效能。优化社会保障资源配置，推动城乡服务均等化。</w:t>
      </w:r>
    </w:p>
    <w:p w14:paraId="0606C2D5">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74" w:name="_Toc26791"/>
      <w:bookmarkStart w:id="175" w:name="_Toc848"/>
      <w:r>
        <w:rPr>
          <w:rFonts w:hint="default" w:ascii="Times New Roman" w:hAnsi="Times New Roman" w:eastAsia="方正黑体简体" w:cs="Times New Roman"/>
        </w:rPr>
        <w:t>第四章  加快健康兖州建设</w:t>
      </w:r>
      <w:bookmarkEnd w:id="174"/>
      <w:bookmarkEnd w:id="175"/>
    </w:p>
    <w:p w14:paraId="5348E98F">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深入实施健康兖州行动，构建优质高效、系统连续、医防协同的整合型医疗卫生服务体系，为人民群众提供全方位健康服务，全面提升居民健康水平和生活质量。</w:t>
      </w:r>
    </w:p>
    <w:p w14:paraId="277D75E6">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76" w:name="_Toc22083"/>
      <w:r>
        <w:rPr>
          <w:rFonts w:hint="default" w:ascii="Times New Roman" w:hAnsi="Times New Roman" w:eastAsia="方正楷体简体" w:cs="Times New Roman"/>
          <w:bCs/>
        </w:rPr>
        <w:t>第一节  提升区域医疗水平</w:t>
      </w:r>
      <w:bookmarkEnd w:id="176"/>
    </w:p>
    <w:p w14:paraId="2E096C9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实施医疗卫生“强基工程”，建设区域医疗高地。提升区级医院现代化治理能力和水平，支持区人民医院高标准建设三级乙等综合医院，建设覆盖县域重大疾病的高水平临床专科群，打造省、市级临床重点专科，培育国家、省级名医工作室。改造提升区妇幼保健计划生育服务中心基础设施，力争达到二级乙等标准，补齐妇幼专科能力短板。推动区中医医院创建三级中医医院、区铁路医院转型为二级康复医院。推动公共医疗服务下沉，加快基层医疗机构基础设施改造和设备更新，在城乡规划建设一批嵌入式社区卫生服务站、医疗分中心和医疗服务点，推进乡村医疗卫生机构一体化管理。“十五五”期间，国家“优质服务基层行”推荐标准占比达到80%以上，基层医疗机构诊疗量占比达到70%以上。</w:t>
      </w:r>
    </w:p>
    <w:p w14:paraId="5A9C4729">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77" w:name="_Toc7865"/>
      <w:r>
        <w:rPr>
          <w:rFonts w:hint="default" w:ascii="Times New Roman" w:hAnsi="Times New Roman" w:eastAsia="方正楷体简体" w:cs="Times New Roman"/>
          <w:bCs/>
        </w:rPr>
        <w:t>第二节  完善公共卫生体系</w:t>
      </w:r>
      <w:bookmarkEnd w:id="177"/>
    </w:p>
    <w:p w14:paraId="2FAC9F6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健全健康促进政策制度体系，提升爱国卫生运动成效，提高人均预期寿命和人民健康水平。强化公共卫生能力，建设全区传染病监测预警与应急指挥平台，完善突发公共卫生事件应急预案，提升重大传染病早期发现和高效处置能力。加强慢性病综合防控，推进医防融合型医疗机构建设，实现基层慢病一体化门诊镇街全覆盖。开展全民急救知识技能普及专项行动，构建智慧化院前急救体系，覆盖半径缩小至城区5公里、农村15公里，全方位提升急诊急救、血液保障和卫生应急能力。</w:t>
      </w:r>
    </w:p>
    <w:p w14:paraId="12EC57E2">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78" w:name="_Toc12069"/>
      <w:r>
        <w:rPr>
          <w:rFonts w:hint="default" w:ascii="Times New Roman" w:hAnsi="Times New Roman" w:eastAsia="方正楷体简体" w:cs="Times New Roman"/>
          <w:bCs/>
        </w:rPr>
        <w:t>第三节  提升全民健康素养</w:t>
      </w:r>
      <w:bookmarkEnd w:id="178"/>
    </w:p>
    <w:p w14:paraId="7F8E90E3">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小标宋_GBK" w:cs="Times New Roman"/>
          <w:bCs/>
          <w:sz w:val="44"/>
          <w:szCs w:val="44"/>
        </w:rPr>
      </w:pPr>
      <w:r>
        <w:rPr>
          <w:rFonts w:hint="default" w:ascii="Times New Roman" w:hAnsi="Times New Roman" w:eastAsia="方正仿宋简体" w:cs="Times New Roman"/>
        </w:rPr>
        <w:t>健全覆盖全人群、全生命周期的人口服务体系，加强基本公共卫生、心理健康和精神卫生服务。实施早孕关爱行动、孕育和出生缺陷防治能力提升行动，孕产妇死亡率、婴儿死亡率、5岁以下儿童死亡率稳定在低位水平。推动中医药传承创新，深化中西医协同机制，支持区中医医院争创省级中医药特色卫生院，实现基层中医药服务全覆盖。积极应对人口老龄化，完善老年健康服务体系，实施医养结合服务供给优化增量行动，推动区铁路医院转型为二级康复医院。</w:t>
      </w:r>
      <w:r>
        <w:rPr>
          <w:rFonts w:hint="default" w:ascii="Times New Roman" w:hAnsi="Times New Roman" w:eastAsia="方正仿宋简体" w:cs="Times New Roman"/>
        </w:rPr>
        <w:br w:type="page"/>
      </w:r>
    </w:p>
    <w:p w14:paraId="6EBC4E2F">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79" w:name="_Toc2859"/>
    </w:p>
    <w:p w14:paraId="4423ED11">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180" w:name="_Toc10090"/>
      <w:r>
        <w:rPr>
          <w:rFonts w:hint="default" w:ascii="Times New Roman" w:hAnsi="Times New Roman" w:eastAsia="方正小标宋_GBK" w:cs="Times New Roman"/>
          <w:sz w:val="36"/>
          <w:szCs w:val="36"/>
        </w:rPr>
        <w:t>第十一篇  推动绿色转型发展，加快建设美丽兖州</w:t>
      </w:r>
      <w:bookmarkEnd w:id="179"/>
      <w:bookmarkEnd w:id="180"/>
    </w:p>
    <w:p w14:paraId="72BF4C65">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p>
    <w:p w14:paraId="1F7CC257">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6"/>
          <w:sz w:val="32"/>
        </w:rPr>
      </w:pPr>
      <w:r>
        <w:rPr>
          <w:rFonts w:hint="default" w:ascii="Times New Roman" w:hAnsi="Times New Roman" w:eastAsia="方正仿宋简体" w:cs="Times New Roman"/>
          <w:spacing w:val="-6"/>
          <w:sz w:val="32"/>
        </w:rPr>
        <w:t>深化落实绿色低碳高质量发展战略，协同推进降碳、减污、扩绿、增长，推动传统产业绿色改造，构建清洁低碳能源体系，提升生态环境质量，高标准建设绿色低碳高质量发展先行示范区。</w:t>
      </w:r>
    </w:p>
    <w:p w14:paraId="247F11CF">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81" w:name="_Toc19759"/>
      <w:r>
        <w:rPr>
          <w:rFonts w:hint="default" w:ascii="Times New Roman" w:hAnsi="Times New Roman" w:eastAsia="方正黑体简体" w:cs="Times New Roman"/>
        </w:rPr>
        <w:t>第一章  稳妥推进“碳达峰碳中和”</w:t>
      </w:r>
      <w:bookmarkEnd w:id="181"/>
    </w:p>
    <w:p w14:paraId="50DA060E">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统筹经济社会发展与全面绿色转型，加强化石能源清洁高效利用，大力发展绿色低碳产业，推动传统产业绿色低碳改造升级，有序实现碳排放“双控”目标。</w:t>
      </w:r>
    </w:p>
    <w:p w14:paraId="375C3F5F">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82" w:name="_Toc20115"/>
      <w:r>
        <w:rPr>
          <w:rFonts w:hint="default" w:ascii="Times New Roman" w:hAnsi="Times New Roman" w:eastAsia="方正楷体简体" w:cs="Times New Roman"/>
          <w:bCs/>
        </w:rPr>
        <w:t>第一节  推进能源结构稳步转型</w:t>
      </w:r>
      <w:bookmarkEnd w:id="182"/>
    </w:p>
    <w:p w14:paraId="233C9D9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立足能源安全与绿色低碳发展要求，以非化石能源增量替代推动化石能源消费减量，持续提高新能源供给和消纳水平。积极推进光伏、风能、地热能、生物质能等清洁能源开发利用。到2030年，全区光伏发电装机80万千瓦、生物质发电装机9万千瓦，非化石能源消费占比提升至12%。推进能源系统智能化改造，有序推动智能电网、微电网、虚拟电厂、工商业储能、源网荷储一体化等项目建设，探索“绿电直连”实施路径，储能设施达到20万千瓦。科学优化煤炭产能布局，推动存量资源优化整合，适时推动优质资源联合开发。积极发展绿色供热与智慧供热，推进试点地热能综合利用，挖掘太阳纸业工业余热、污水源等热源潜力，推进兖州高新区2×5万千瓦背压机组热电联产项目建设。</w:t>
      </w:r>
    </w:p>
    <w:p w14:paraId="381F0436">
      <w:pPr>
        <w:pStyle w:val="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default" w:ascii="Times New Roman" w:hAnsi="Times New Roman" w:cs="Times New Roman"/>
        </w:rPr>
      </w:pP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7AB6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0" w:hRule="atLeast"/>
          <w:jc w:val="center"/>
        </w:trPr>
        <w:tc>
          <w:tcPr>
            <w:tcW w:w="8789" w:type="dxa"/>
            <w:vAlign w:val="top"/>
          </w:tcPr>
          <w:p w14:paraId="17ED8108">
            <w:pPr>
              <w:pStyle w:val="39"/>
              <w:keepNext w:val="0"/>
              <w:keepLines w:val="0"/>
              <w:pageBreakBefore w:val="0"/>
              <w:widowControl w:val="0"/>
              <w:kinsoku/>
              <w:wordWrap/>
              <w:overflowPunct w:val="0"/>
              <w:topLinePunct w:val="0"/>
              <w:autoSpaceDE/>
              <w:autoSpaceDN/>
              <w:bidi w:val="0"/>
              <w:adjustRightInd/>
              <w:snapToGrid/>
              <w:spacing w:line="510"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专栏16：能源结构转型项目</w:t>
            </w:r>
          </w:p>
          <w:p w14:paraId="0D374BEF">
            <w:pPr>
              <w:keepNext w:val="0"/>
              <w:keepLines w:val="0"/>
              <w:pageBreakBefore w:val="0"/>
              <w:widowControl w:val="0"/>
              <w:kinsoku/>
              <w:wordWrap/>
              <w:overflowPunct w:val="0"/>
              <w:topLinePunct w:val="0"/>
              <w:autoSpaceDE/>
              <w:autoSpaceDN/>
              <w:bidi w:val="0"/>
              <w:adjustRightInd/>
              <w:snapToGrid/>
              <w:spacing w:line="51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宁德时代济宁新能源产业园零碳园区建设</w:t>
            </w:r>
          </w:p>
          <w:p w14:paraId="2B48EF02">
            <w:pPr>
              <w:keepNext w:val="0"/>
              <w:keepLines w:val="0"/>
              <w:pageBreakBefore w:val="0"/>
              <w:widowControl w:val="0"/>
              <w:kinsoku/>
              <w:wordWrap/>
              <w:overflowPunct w:val="0"/>
              <w:topLinePunct w:val="0"/>
              <w:autoSpaceDE/>
              <w:autoSpaceDN/>
              <w:bidi w:val="0"/>
              <w:adjustRightInd/>
              <w:snapToGrid/>
              <w:spacing w:line="51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山东时代新能源电池基地绿电直连项目</w:t>
            </w:r>
          </w:p>
          <w:p w14:paraId="2EF3E725">
            <w:pPr>
              <w:keepNext w:val="0"/>
              <w:keepLines w:val="0"/>
              <w:pageBreakBefore w:val="0"/>
              <w:widowControl w:val="0"/>
              <w:kinsoku/>
              <w:wordWrap/>
              <w:overflowPunct w:val="0"/>
              <w:topLinePunct w:val="0"/>
              <w:autoSpaceDE/>
              <w:autoSpaceDN/>
              <w:bidi w:val="0"/>
              <w:adjustRightInd/>
              <w:snapToGrid/>
              <w:spacing w:line="51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时代绿能200MW光伏发电项目</w:t>
            </w:r>
          </w:p>
          <w:p w14:paraId="2F112132">
            <w:pPr>
              <w:keepNext w:val="0"/>
              <w:keepLines w:val="0"/>
              <w:pageBreakBefore w:val="0"/>
              <w:widowControl w:val="0"/>
              <w:kinsoku/>
              <w:wordWrap/>
              <w:overflowPunct w:val="0"/>
              <w:topLinePunct w:val="0"/>
              <w:autoSpaceDE/>
              <w:autoSpaceDN/>
              <w:bidi w:val="0"/>
              <w:adjustRightInd/>
              <w:snapToGrid/>
              <w:spacing w:line="510" w:lineRule="exact"/>
              <w:ind w:firstLine="0" w:firstLineChars="0"/>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时代绿能100MW/200MWh储能项目</w:t>
            </w:r>
          </w:p>
          <w:p w14:paraId="36901D2F">
            <w:pPr>
              <w:keepNext w:val="0"/>
              <w:keepLines w:val="0"/>
              <w:pageBreakBefore w:val="0"/>
              <w:widowControl w:val="0"/>
              <w:kinsoku/>
              <w:wordWrap/>
              <w:overflowPunct w:val="0"/>
              <w:topLinePunct w:val="0"/>
              <w:autoSpaceDE/>
              <w:autoSpaceDN/>
              <w:bidi w:val="0"/>
              <w:adjustRightInd/>
              <w:snapToGrid/>
              <w:spacing w:line="510" w:lineRule="exact"/>
              <w:ind w:firstLine="0" w:firstLineChars="0"/>
              <w:textAlignment w:val="auto"/>
              <w:rPr>
                <w:rFonts w:hint="default" w:ascii="Times New Roman" w:hAnsi="Times New Roman" w:eastAsia="方正仿宋简体" w:cs="Times New Roman"/>
              </w:rPr>
            </w:pPr>
            <w:r>
              <w:rPr>
                <w:rFonts w:hint="default" w:ascii="Times New Roman" w:hAnsi="Times New Roman" w:eastAsia="方正仿宋简体" w:cs="Times New Roman"/>
                <w:kern w:val="0"/>
                <w:sz w:val="30"/>
                <w:szCs w:val="30"/>
              </w:rPr>
              <w:t>华勤绿能30MW/60MWh电池储能项目</w:t>
            </w:r>
          </w:p>
          <w:p w14:paraId="740B2071">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兖州高新区2×5万千瓦背压机组热电联产项目</w:t>
            </w:r>
          </w:p>
          <w:p w14:paraId="375FEEA2">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太阳纸业光伏发电项目</w:t>
            </w:r>
          </w:p>
          <w:p w14:paraId="2A499D44">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中鲁新能源兆瓦级新能源重卡绿色智能充换电示范站项目</w:t>
            </w:r>
          </w:p>
          <w:p w14:paraId="6269A416">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光储充换+电动重卡一体化示范应用及智慧绿色交通运输项目</w:t>
            </w:r>
          </w:p>
          <w:p w14:paraId="468EED2F">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海南中弘风电能源塔筒项目</w:t>
            </w:r>
          </w:p>
          <w:p w14:paraId="2AE3CD26">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中国城建院新能源商用车换电站建设项目</w:t>
            </w:r>
          </w:p>
          <w:p w14:paraId="187B73BC">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中广储能科技共享储能电站项目</w:t>
            </w:r>
          </w:p>
          <w:p w14:paraId="28EA6DD2">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兖州城南变电峰值调压储能站项目</w:t>
            </w:r>
          </w:p>
          <w:p w14:paraId="0EFD6757">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兖州公用变电站分布式电源建设项目</w:t>
            </w:r>
          </w:p>
          <w:p w14:paraId="19B5A047">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隆泰能源熔盐储能智能制造基地项目</w:t>
            </w:r>
          </w:p>
          <w:p w14:paraId="7CA663CC">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时代绿能山东集控中心项目</w:t>
            </w:r>
          </w:p>
          <w:p w14:paraId="1511A369">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天意光储充一体化设施及数字化管理平台建设项目</w:t>
            </w:r>
          </w:p>
          <w:p w14:paraId="203A5B68">
            <w:pPr>
              <w:pStyle w:val="39"/>
              <w:keepNext w:val="0"/>
              <w:keepLines w:val="0"/>
              <w:pageBreakBefore w:val="0"/>
              <w:widowControl w:val="0"/>
              <w:kinsoku/>
              <w:wordWrap/>
              <w:overflowPunct w:val="0"/>
              <w:topLinePunct w:val="0"/>
              <w:autoSpaceDE/>
              <w:autoSpaceDN/>
              <w:bidi w:val="0"/>
              <w:adjustRightInd/>
              <w:snapToGrid/>
              <w:spacing w:line="510" w:lineRule="exact"/>
              <w:jc w:val="both"/>
              <w:textAlignment w:val="auto"/>
              <w:rPr>
                <w:rFonts w:hint="default" w:ascii="Times New Roman" w:hAnsi="Times New Roman" w:eastAsia="方正仿宋简体" w:cs="Times New Roman"/>
                <w:color w:val="00B050"/>
                <w:highlight w:val="yellow"/>
              </w:rPr>
            </w:pPr>
            <w:r>
              <w:rPr>
                <w:rFonts w:hint="default" w:ascii="Times New Roman" w:hAnsi="Times New Roman" w:eastAsia="方正仿宋简体" w:cs="Times New Roman"/>
              </w:rPr>
              <w:t>范林站侧调峰储能项目</w:t>
            </w:r>
          </w:p>
        </w:tc>
      </w:tr>
    </w:tbl>
    <w:p w14:paraId="713AA6DA">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p w14:paraId="33931D0D">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83" w:name="_Toc22273"/>
      <w:r>
        <w:rPr>
          <w:rFonts w:hint="default" w:ascii="Times New Roman" w:hAnsi="Times New Roman" w:eastAsia="方正楷体简体" w:cs="Times New Roman"/>
          <w:bCs/>
        </w:rPr>
        <w:t>第二节  协同推进碳排放“双控”</w:t>
      </w:r>
      <w:bookmarkEnd w:id="183"/>
      <w:r>
        <w:rPr>
          <w:rFonts w:hint="default" w:ascii="Times New Roman" w:hAnsi="Times New Roman" w:eastAsia="方正楷体简体" w:cs="Times New Roman"/>
          <w:bCs/>
        </w:rPr>
        <w:t xml:space="preserve"> </w:t>
      </w:r>
    </w:p>
    <w:p w14:paraId="2C6016F7">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以碳排放总量和强度“双控”为核心，构建符合兖州实际的绿色低碳发展体系。将碳排放评价深度融入项目审批流程，严控高耗能项目准入。强化重点企业分级分类管理，以华勤集团、太阳纸业、山东时代等为试点，建设智能化能源管理中心，实现能耗与碳排放实时监测、管理与优化。完善企业碳排放报告与核查制度，推动数据与省市平台对接。深化重点领域节能降碳，加大绿色制造体系建设，创建国家级绿色工厂1家，培育零碳园区3个。推动企业实施节能改造，建设绿色供应链，带动上下游协同降碳。全面推行用能预算管理，建立重点项目用能保障机制。积极对接全国碳市场，推动重点企业参与碳交易。探索农业减排与林业碳汇协同路径，对接省市碳汇补偿机制。以公共机构和重点用能企业为重点，大力推广合同能源管理及第三方节能服务，加快构建政府引导、市场主导、企业主体的减排新格局。</w:t>
      </w:r>
    </w:p>
    <w:p w14:paraId="115F3F56">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84" w:name="_Toc10708"/>
      <w:r>
        <w:rPr>
          <w:rFonts w:hint="default" w:ascii="Times New Roman" w:hAnsi="Times New Roman" w:eastAsia="方正楷体简体" w:cs="Times New Roman"/>
          <w:bCs/>
        </w:rPr>
        <w:t>第三节  倡树绿色低碳生活新风</w:t>
      </w:r>
      <w:bookmarkEnd w:id="184"/>
    </w:p>
    <w:p w14:paraId="3AA3568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构建绿色低碳交通体系，完善新能源汽车充电基础设施网络，重点在大型公共区域打造充电示范站，推动实施7个充换电站项目建设，鼓励运输企业购置新能源重卡。到2030年，全区公共充电桩保有量达到1900个，网约车新能源车辆更新比例达到80%以上。优化城市慢行系统，建设3条以上绿色出行线路，畅通城市“微循环”路网。严格执行绿色建筑标准，将装配式建筑比例稳定在50%以上，积极开展超低能耗建筑试点。鼓励企业开展产品碳足迹认证，全面推行政府绿色采购，深入开展“绿色家庭”“低碳社区”创建行动，带动城乡居民绿色消费习惯养成。</w:t>
      </w:r>
    </w:p>
    <w:p w14:paraId="63F85E2D">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85" w:name="_Toc1658"/>
      <w:bookmarkStart w:id="186" w:name="_Toc30517"/>
      <w:r>
        <w:rPr>
          <w:rFonts w:hint="default" w:ascii="Times New Roman" w:hAnsi="Times New Roman" w:eastAsia="方正黑体简体" w:cs="Times New Roman"/>
        </w:rPr>
        <w:t xml:space="preserve">第二章  </w:t>
      </w:r>
      <w:bookmarkEnd w:id="185"/>
      <w:r>
        <w:rPr>
          <w:rFonts w:hint="default" w:ascii="Times New Roman" w:hAnsi="Times New Roman" w:eastAsia="方正黑体简体" w:cs="Times New Roman"/>
        </w:rPr>
        <w:t>大力推进污染防治攻坚</w:t>
      </w:r>
      <w:bookmarkEnd w:id="186"/>
    </w:p>
    <w:p w14:paraId="28BFDA26">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坚持源头严控、过程严管、末端严治，深入打好污染防治攻坚战，稳步提升空气质量优良天数比例，系统治理水系流域，有效管控土壤环境风险，推动环境质量持续改善。</w:t>
      </w:r>
    </w:p>
    <w:p w14:paraId="21E7BCFC">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87" w:name="_Toc24311"/>
      <w:r>
        <w:rPr>
          <w:rFonts w:hint="default" w:ascii="Times New Roman" w:hAnsi="Times New Roman" w:eastAsia="方正楷体简体" w:cs="Times New Roman"/>
          <w:bCs/>
        </w:rPr>
        <w:t>第一节  持续深入打好蓝天保卫战</w:t>
      </w:r>
      <w:bookmarkEnd w:id="187"/>
    </w:p>
    <w:p w14:paraId="39778F6B">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聚焦产业结构优化升级、能源绿色低碳转型、运输结构绿色调整、大气面源治理提升，大力推进多污染物协同减排。以降低细颗粒物浓度为主线，持续开展臭氧、挥发性有机物和氮氧化物协同治理，推动全区环境空气质量持续改善。强化“十条工作线”作战能力，抓好散煤燃用整治、扬尘和挥发性有机物治理、移动源等重点工作，加强区域大气污染联防联控，落实重污染天气应急联动机制。聚焦重点行业、重点领域、重点企业，高标准推动实施美丽蓝天建设项目。加强火电、玻璃等重点行业企业管理，太阳纸业电厂、银河电力燃煤锅炉完成全流程超低排放改造，推动重点企业清洁运输比例达到80%以上。逐步推进国二及以下非道路移动机械和国四柴油货车淘汰，大安机场新增作业车辆和机械应电尽电。</w:t>
      </w:r>
    </w:p>
    <w:p w14:paraId="2B837D96">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88" w:name="_Toc5047"/>
      <w:r>
        <w:rPr>
          <w:rFonts w:hint="default" w:ascii="Times New Roman" w:hAnsi="Times New Roman" w:eastAsia="方正楷体简体" w:cs="Times New Roman"/>
          <w:bCs/>
        </w:rPr>
        <w:t>第二节  持续深入打好碧水保卫战</w:t>
      </w:r>
      <w:bookmarkEnd w:id="188"/>
    </w:p>
    <w:p w14:paraId="4179A13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统筹推进水资源、水生态和水环境保护治理，巩固泗河兖州段水利部“淮河流域幸福河湖”、省级“美丽河湖”成果，提升泗河绿色发展带经济价值。加强饮用水水源地保护，推动地下水环境质量稳中向好。加强龙湖湿地、马桥湿地、大雨住湿地及颜店污水处理厂尾水净化工程管护，加快泗河、杨家河湿地建设及配套工程，推进工业园区雨污分流管网建设，改造提升农高园片区雨污管网，扩容升级兖州污水处理厂。加强工业污水达标排放监管，确保国省控断面水质稳定达标。严格落实“一河一策一专班” 工作机制，强化流域联防联控。推进水资源高效利用，强化地下水超采治理，持续压减地下水开采量，统筹推进城乡污水治理和黑臭水体防治。</w:t>
      </w:r>
    </w:p>
    <w:p w14:paraId="7A947188">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89" w:name="_Toc24146"/>
      <w:r>
        <w:rPr>
          <w:rFonts w:hint="default" w:ascii="Times New Roman" w:hAnsi="Times New Roman" w:eastAsia="方正楷体简体" w:cs="Times New Roman"/>
          <w:bCs/>
        </w:rPr>
        <w:t>第三节  持续深入打好净土保卫战</w:t>
      </w:r>
      <w:bookmarkEnd w:id="189"/>
    </w:p>
    <w:p w14:paraId="1582257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开展土壤污染源头防控行动，严格执行农用地分类管理，加强建设用地土壤污染风险管控和修复。加大重金属污染防控力度，有序开展农用地土壤重金属污染溯源整治。加强固体废物综合治理，全链条管控整治建筑垃圾，健全生活垃圾分类收运机制，完善再生资源回收利用网络，全链条治理塑料污染，持续推进新污染物协同治理和环境风险管控。统筹推动乡村生态振兴和农村人居环境整治，巩固“整县制美丽乡村”成果，加快农业绿色发展步伐。大力发展循环经济，推动废弃物变资源、垃圾变能源，全面提升固废无害化、减量化和资源化利用水平，持续推进“无废细胞”扩面提质，推动“无废城市”建设。到2030年，一般工业固废综合利用率达到95%以上。</w:t>
      </w:r>
    </w:p>
    <w:p w14:paraId="79E57A23">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190" w:name="_Toc9500"/>
      <w:bookmarkStart w:id="191" w:name="_Toc32028"/>
      <w:r>
        <w:rPr>
          <w:rFonts w:hint="default" w:ascii="Times New Roman" w:hAnsi="Times New Roman" w:eastAsia="方正黑体简体" w:cs="Times New Roman"/>
        </w:rPr>
        <w:t>第三章  系统推进生态保护修复</w:t>
      </w:r>
      <w:bookmarkEnd w:id="190"/>
      <w:bookmarkEnd w:id="191"/>
    </w:p>
    <w:p w14:paraId="6B4658A7">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严守耕地和永久基本农田、生态保护红线、城镇开发边界三条控制线，综合运用自然恢复和人工修复手段，深入推进生态保护修复，提升生态环境治理现代化水平，促进高水平保护与高质量发展。</w:t>
      </w:r>
    </w:p>
    <w:p w14:paraId="15D50448">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92" w:name="_Toc14687"/>
      <w:r>
        <w:rPr>
          <w:rFonts w:hint="default" w:ascii="Times New Roman" w:hAnsi="Times New Roman" w:eastAsia="方正楷体简体" w:cs="Times New Roman"/>
          <w:bCs/>
        </w:rPr>
        <w:t>第一节  统筹生态系统治理</w:t>
      </w:r>
      <w:bookmarkEnd w:id="192"/>
    </w:p>
    <w:p w14:paraId="08C670A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实施生态保护与修复重大工程，统筹推进矿山复绿、采煤塌陷区治理与沉陷地水域生态修复，治理采煤塌陷地2300亩以上，完成稳沉塌陷地100%治理。强化河流湿地保护，严格落实河长制，对龙湖湿地、马桥湿地、青莲湿地实施一体化利用，完成大雨住湿地建设，扩容改造荆州路湿地，完善生态廊道与湿地公园保护修复工程，全面提升生态系统稳定性与碳汇功能。加强金口坝世界灌溉工程遗产保护与申报，传承水文化价值。搭建智慧水利监测平台，强化实时监控预警能力。</w:t>
      </w:r>
    </w:p>
    <w:p w14:paraId="6DBF515F">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193" w:name="_Toc15715"/>
      <w:r>
        <w:rPr>
          <w:rFonts w:hint="default" w:ascii="Times New Roman" w:hAnsi="Times New Roman" w:eastAsia="方正楷体简体" w:cs="Times New Roman"/>
          <w:bCs/>
        </w:rPr>
        <w:t>第二节  提升资源保护利用</w:t>
      </w:r>
      <w:bookmarkEnd w:id="193"/>
    </w:p>
    <w:p w14:paraId="4332ABE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实施国土绿化行动，提升森林覆盖率和林木蓄积量。编制实施林地保护利用规划，开展低效林改造和珍贵树种补植，扩大乡土树种比例，严格林地用途管控，提升林业资源保护利用水平。建立健全基础测绘分级管理、统筹实施、协同更新、资源共享的体制机制，坚持低效用地再开发潜力年度摸底调查，建立功能完备的数据库，推进城镇低效用地再开发。提高矿产资源利用效率，详细查明全区地砂资源家底，推进大安勘查区块深部煤炭普查。探索地热资源开发利用，助力区域绿色发展，实现矿产资源可持续利用。建立完善绿化后期养护管护制度和投入机制，力争每年造林300亩以上。加强自然保护地管理，落实生物多样性保护条例，开展外来物种普查，实施科学有效防治。</w:t>
      </w:r>
    </w:p>
    <w:p w14:paraId="4646C804">
      <w:pPr>
        <w:keepNext w:val="0"/>
        <w:keepLines w:val="0"/>
        <w:pageBreakBefore w:val="0"/>
        <w:widowControl w:val="0"/>
        <w:kinsoku/>
        <w:wordWrap/>
        <w:overflowPunct w:val="0"/>
        <w:topLinePunct w:val="0"/>
        <w:autoSpaceDE/>
        <w:autoSpaceDN/>
        <w:bidi w:val="0"/>
        <w:adjustRightInd/>
        <w:snapToGrid/>
        <w:spacing w:line="280" w:lineRule="exact"/>
        <w:ind w:firstLine="640"/>
        <w:textAlignment w:val="auto"/>
        <w:rPr>
          <w:rFonts w:hint="default" w:ascii="Times New Roman" w:hAnsi="Times New Roman" w:cs="Times New Roman"/>
        </w:rPr>
      </w:pPr>
    </w:p>
    <w:tbl>
      <w:tblPr>
        <w:tblStyle w:val="4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7D0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jc w:val="center"/>
        </w:trPr>
        <w:tc>
          <w:tcPr>
            <w:tcW w:w="8296" w:type="dxa"/>
            <w:vAlign w:val="top"/>
          </w:tcPr>
          <w:p w14:paraId="261A20F0">
            <w:pPr>
              <w:pStyle w:val="39"/>
              <w:topLinePunct w:val="0"/>
              <w:spacing w:line="500" w:lineRule="exact"/>
              <w:rPr>
                <w:rFonts w:hint="default" w:ascii="Times New Roman" w:hAnsi="Times New Roman" w:eastAsia="方正仿宋简体" w:cs="Times New Roman"/>
              </w:rPr>
            </w:pPr>
            <w:r>
              <w:rPr>
                <w:rFonts w:hint="default" w:ascii="Times New Roman" w:hAnsi="Times New Roman" w:eastAsia="方正仿宋简体" w:cs="Times New Roman"/>
              </w:rPr>
              <w:t>专栏17：生态保护项目</w:t>
            </w:r>
          </w:p>
          <w:p w14:paraId="4E129D7D">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龙湖湿地、马桥湿地、青莲湿地一体开发工程</w:t>
            </w:r>
          </w:p>
          <w:p w14:paraId="32D1E90A">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泗河、杨家河湿地建设工程</w:t>
            </w:r>
          </w:p>
          <w:p w14:paraId="3F0BCA39">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农高园片区雨污管网提升改造</w:t>
            </w:r>
          </w:p>
          <w:p w14:paraId="56DCA448">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兖州污水处理厂扩容升级项目</w:t>
            </w:r>
          </w:p>
          <w:p w14:paraId="08C242D9">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颜店新城污水处理厂尾水净化二期工程</w:t>
            </w:r>
          </w:p>
          <w:p w14:paraId="4B549628">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太阳新材料污水处理及湿地建设工程</w:t>
            </w:r>
          </w:p>
          <w:p w14:paraId="0C1D1B78">
            <w:pPr>
              <w:pStyle w:val="39"/>
              <w:topLinePunct w:val="0"/>
              <w:spacing w:line="5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太阳纸业八万方水处理扩容项目</w:t>
            </w:r>
          </w:p>
          <w:p w14:paraId="49B45D0D">
            <w:pPr>
              <w:pStyle w:val="39"/>
              <w:topLinePunct w:val="0"/>
              <w:spacing w:line="500" w:lineRule="exact"/>
              <w:jc w:val="both"/>
              <w:rPr>
                <w:rFonts w:hint="default" w:ascii="Times New Roman" w:hAnsi="Times New Roman" w:eastAsia="方正仿宋简体" w:cs="Times New Roman"/>
                <w:bCs/>
                <w:szCs w:val="32"/>
              </w:rPr>
            </w:pPr>
            <w:r>
              <w:rPr>
                <w:rFonts w:hint="default" w:ascii="Times New Roman" w:hAnsi="Times New Roman" w:eastAsia="方正仿宋简体" w:cs="Times New Roman"/>
              </w:rPr>
              <w:t>瑞祥丰生物质复合燃料资源化利用项目</w:t>
            </w:r>
          </w:p>
        </w:tc>
      </w:tr>
    </w:tbl>
    <w:p w14:paraId="7BCB7B2E">
      <w:pPr>
        <w:overflowPunct w:val="0"/>
        <w:ind w:firstLine="880" w:firstLineChars="0"/>
        <w:jc w:val="left"/>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br w:type="page"/>
      </w:r>
    </w:p>
    <w:p w14:paraId="5BF7205C">
      <w:pPr>
        <w:pStyle w:val="47"/>
        <w:keepNext w:val="0"/>
        <w:keepLines w:val="0"/>
        <w:overflowPunct w:val="0"/>
        <w:spacing w:line="560" w:lineRule="exact"/>
        <w:rPr>
          <w:rFonts w:hint="default" w:ascii="Times New Roman" w:hAnsi="Times New Roman" w:eastAsia="方正小标宋_GBK" w:cs="Times New Roman"/>
          <w:sz w:val="36"/>
          <w:szCs w:val="36"/>
        </w:rPr>
        <w:sectPr>
          <w:pgSz w:w="11906" w:h="16838"/>
          <w:pgMar w:top="2155" w:right="1588" w:bottom="1304" w:left="1588" w:header="1361" w:footer="1418" w:gutter="0"/>
          <w:cols w:space="425" w:num="1"/>
          <w:docGrid w:type="linesAndChars" w:linePitch="312" w:charSpace="0"/>
        </w:sectPr>
      </w:pPr>
      <w:bookmarkStart w:id="194" w:name="_Toc31738"/>
    </w:p>
    <w:p w14:paraId="40765546">
      <w:pPr>
        <w:pStyle w:val="47"/>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eastAsia="方正小标宋_GBK" w:cs="Times New Roman"/>
          <w:sz w:val="36"/>
          <w:szCs w:val="36"/>
        </w:rPr>
      </w:pPr>
    </w:p>
    <w:p w14:paraId="4C2A5E51">
      <w:pPr>
        <w:pStyle w:val="47"/>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eastAsia="方正小标宋_GBK" w:cs="Times New Roman"/>
          <w:sz w:val="36"/>
          <w:szCs w:val="36"/>
        </w:rPr>
      </w:pPr>
      <w:bookmarkStart w:id="195" w:name="_Toc16095"/>
      <w:r>
        <w:rPr>
          <w:rFonts w:hint="default" w:ascii="Times New Roman" w:hAnsi="Times New Roman" w:eastAsia="方正小标宋_GBK" w:cs="Times New Roman"/>
          <w:sz w:val="36"/>
          <w:szCs w:val="36"/>
        </w:rPr>
        <w:t>第十二篇  统筹发展和安全，建设更高水平平安兖州</w:t>
      </w:r>
      <w:bookmarkEnd w:id="194"/>
      <w:bookmarkEnd w:id="195"/>
    </w:p>
    <w:p w14:paraId="648D7C0A">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cs="Times New Roman"/>
        </w:rPr>
      </w:pPr>
    </w:p>
    <w:p w14:paraId="6B88E87D">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以总体国家安全观为统领，统筹高质量发展和高水平安全，实现政治安全防线更加稳固，公共安全秩序持续向好，生产安全根基更加坚实，应急响应处置高效精准，以高水平安全护航高质量发展。</w:t>
      </w:r>
    </w:p>
    <w:p w14:paraId="629CD772">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80" w:lineRule="exact"/>
        <w:textAlignment w:val="auto"/>
        <w:rPr>
          <w:rFonts w:hint="default" w:ascii="Times New Roman" w:hAnsi="Times New Roman" w:eastAsia="方正黑体简体" w:cs="Times New Roman"/>
        </w:rPr>
      </w:pPr>
      <w:bookmarkStart w:id="196" w:name="_Toc29120"/>
      <w:bookmarkStart w:id="197" w:name="_Toc10755"/>
      <w:r>
        <w:rPr>
          <w:rFonts w:hint="default" w:ascii="Times New Roman" w:hAnsi="Times New Roman" w:eastAsia="方正黑体简体" w:cs="Times New Roman"/>
        </w:rPr>
        <w:t>第一章  贯彻总体国家安全观</w:t>
      </w:r>
      <w:bookmarkEnd w:id="196"/>
      <w:bookmarkEnd w:id="197"/>
    </w:p>
    <w:p w14:paraId="58456344">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坚定维护国家政权安全、制度安全、意识形态安全，牢固树立安全发展理念，有序化解金融领域风险，加快提升产业链供应链自主可控水平，为高质量发展提供坚实支撑。</w:t>
      </w:r>
    </w:p>
    <w:p w14:paraId="0DC97406">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98" w:name="_Toc4415"/>
      <w:r>
        <w:rPr>
          <w:rFonts w:hint="default" w:ascii="Times New Roman" w:hAnsi="Times New Roman" w:eastAsia="方正楷体简体" w:cs="Times New Roman"/>
          <w:bCs/>
        </w:rPr>
        <w:t>第一节  健全政治安全风险防控体系</w:t>
      </w:r>
      <w:bookmarkEnd w:id="198"/>
    </w:p>
    <w:p w14:paraId="13B4ECD9">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党委领导、政府负责、社会协同、公众参与的责任体系，坚定维护国家政治安全。严格落实意识形态工作责任制，加强对各类思想文化阵地的管理，定期开展风险排查，坚决防范和抵制境外有害意识形态渗透，严密防范、严厉打击敌对势力渗透、破坏、颠覆、分裂活动，确保意识形态领域安全。加强党政机关、重点企事业单位内部安全防范，严防窃密泄密事件发生。持续开展反邪教宣传教育，依法严厉打击暴力恐怖活动和邪教组织非法活动。</w:t>
      </w:r>
    </w:p>
    <w:p w14:paraId="2437F32B">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199" w:name="_Toc15164"/>
      <w:r>
        <w:rPr>
          <w:rFonts w:hint="default" w:ascii="Times New Roman" w:hAnsi="Times New Roman" w:eastAsia="方正楷体简体" w:cs="Times New Roman"/>
          <w:bCs/>
        </w:rPr>
        <w:t>第二节  加强重点领域安全能力建设</w:t>
      </w:r>
      <w:bookmarkEnd w:id="199"/>
    </w:p>
    <w:p w14:paraId="61C57529">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健全经济安全风险预警与防控机制，完善产业链、供应链安全风险评估与韧性维护体系，推动实现关键环节供应渠道多元化。完善覆盖全市场的金融风险监测预警系统和防控处置机制，统筹化解房地产、地方债务、中小金融机构等领域风险。聚焦财政金融、国有资产等重点领域，以高质量审计推动有效防范化解各类风险。深化网络安全教育，加强数据安全分类分级保护管理，健全关键信息基础设施安全保护制度，筑牢网络安全防线。加快构建清洁低碳、安全高效的新型能源体系，加强电力、天然气、成品油、煤炭等能源资源的战略储备与供需协调，确保能源安全稳定供应。完善国防动员体系，筑牢人民防线。坚持党管武装，加强动员能力建设，扎实做好双拥工作，推动基础设施、产业发展等重点领域军民融合走深走实。</w:t>
      </w:r>
    </w:p>
    <w:p w14:paraId="7FD220EB">
      <w:pPr>
        <w:keepNext w:val="0"/>
        <w:keepLines w:val="0"/>
        <w:pageBreakBefore w:val="0"/>
        <w:widowControl w:val="0"/>
        <w:kinsoku/>
        <w:wordWrap/>
        <w:overflowPunct w:val="0"/>
        <w:topLinePunct w:val="0"/>
        <w:autoSpaceDE/>
        <w:autoSpaceDN/>
        <w:bidi w:val="0"/>
        <w:adjustRightInd/>
        <w:snapToGrid/>
        <w:spacing w:before="156" w:beforeLines="50" w:after="156" w:afterLines="50" w:line="580" w:lineRule="exact"/>
        <w:ind w:firstLine="0" w:firstLineChars="0"/>
        <w:jc w:val="center"/>
        <w:textAlignment w:val="auto"/>
        <w:outlineLvl w:val="2"/>
        <w:rPr>
          <w:rFonts w:hint="default" w:ascii="Times New Roman" w:hAnsi="Times New Roman" w:eastAsia="方正楷体简体" w:cs="Times New Roman"/>
          <w:bCs/>
        </w:rPr>
      </w:pPr>
      <w:bookmarkStart w:id="200" w:name="_Toc20774"/>
      <w:r>
        <w:rPr>
          <w:rFonts w:hint="default" w:ascii="Times New Roman" w:hAnsi="Times New Roman" w:eastAsia="方正楷体简体" w:cs="Times New Roman"/>
          <w:bCs/>
        </w:rPr>
        <w:t>第三节  夯实民族团结和谐发展根基</w:t>
      </w:r>
      <w:bookmarkEnd w:id="200"/>
    </w:p>
    <w:p w14:paraId="2B8B7808">
      <w:pPr>
        <w:keepNext w:val="0"/>
        <w:keepLines w:val="0"/>
        <w:pageBreakBefore w:val="0"/>
        <w:widowControl w:val="0"/>
        <w:kinsoku/>
        <w:wordWrap/>
        <w:overflowPunct w:val="0"/>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以铸牢中华民族共同体意识为主线，使之贯穿民族工作各领域全过程，全面推进中华民族共有精神家园建设，推动各民族共同走向社会主义现代化，促进各民族广泛交往交流交融，提升民族事务治理体系和治理能力现代化水平，坚决防范民族领域重大风险隐患。加强和完善党对民族工作的全面领导，构建党委统一领导、政府依法管理、统战部门牵头协调、民族工作部门履职尽责、各部门通力合作、全社会共同参与的新时代党的民族工作格局。将民族村发展纳入乡村振兴总体规划，支持民族村立足资源禀赋、发展条件等实际，培育壮大特色优势产业，切实推动民族村高质量发展。</w:t>
      </w:r>
    </w:p>
    <w:p w14:paraId="29C707E8">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70" w:lineRule="exact"/>
        <w:textAlignment w:val="auto"/>
        <w:rPr>
          <w:rFonts w:hint="default" w:ascii="Times New Roman" w:hAnsi="Times New Roman" w:eastAsia="方正黑体简体" w:cs="Times New Roman"/>
        </w:rPr>
      </w:pPr>
      <w:bookmarkStart w:id="201" w:name="_Toc31479"/>
      <w:bookmarkStart w:id="202" w:name="_Toc10554"/>
      <w:r>
        <w:rPr>
          <w:rFonts w:hint="default" w:ascii="Times New Roman" w:hAnsi="Times New Roman" w:eastAsia="方正黑体简体" w:cs="Times New Roman"/>
        </w:rPr>
        <w:t>第二章  提高公共安全治理水平</w:t>
      </w:r>
      <w:bookmarkEnd w:id="201"/>
      <w:bookmarkEnd w:id="202"/>
    </w:p>
    <w:p w14:paraId="0B4BBF17">
      <w:pPr>
        <w:keepNext w:val="0"/>
        <w:keepLines w:val="0"/>
        <w:pageBreakBefore w:val="0"/>
        <w:widowControl w:val="0"/>
        <w:kinsoku/>
        <w:wordWrap/>
        <w:overflowPunct w:val="0"/>
        <w:topLinePunct w:val="0"/>
        <w:autoSpaceDE/>
        <w:autoSpaceDN/>
        <w:bidi w:val="0"/>
        <w:adjustRightInd/>
        <w:snapToGrid/>
        <w:spacing w:line="57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以责任落地为抓手，切实防范风险、提升治理效能，推动公共安全治理模式向事前预防转型，加强气象、水文、地质灾害监测预报预警，扎实做好应急指挥、安全生产、食品药品安全等工作，全力保障人民群众生命财产安全。</w:t>
      </w:r>
    </w:p>
    <w:p w14:paraId="37A93EE5">
      <w:pPr>
        <w:keepNext w:val="0"/>
        <w:keepLines w:val="0"/>
        <w:pageBreakBefore w:val="0"/>
        <w:widowControl w:val="0"/>
        <w:kinsoku/>
        <w:wordWrap/>
        <w:overflowPunct w:val="0"/>
        <w:topLinePunct w:val="0"/>
        <w:autoSpaceDE/>
        <w:autoSpaceDN/>
        <w:bidi w:val="0"/>
        <w:adjustRightInd/>
        <w:snapToGrid/>
        <w:spacing w:before="156" w:beforeLines="50" w:after="156" w:afterLines="50" w:line="570" w:lineRule="exact"/>
        <w:ind w:firstLine="0" w:firstLineChars="0"/>
        <w:jc w:val="center"/>
        <w:textAlignment w:val="auto"/>
        <w:outlineLvl w:val="2"/>
        <w:rPr>
          <w:rFonts w:hint="default" w:ascii="Times New Roman" w:hAnsi="Times New Roman" w:eastAsia="方正楷体简体" w:cs="Times New Roman"/>
          <w:bCs/>
        </w:rPr>
      </w:pPr>
      <w:bookmarkStart w:id="203" w:name="_Toc1350"/>
      <w:r>
        <w:rPr>
          <w:rFonts w:hint="default" w:ascii="Times New Roman" w:hAnsi="Times New Roman" w:eastAsia="方正楷体简体" w:cs="Times New Roman"/>
          <w:bCs/>
        </w:rPr>
        <w:t>第一节  全力维护社会平安稳定</w:t>
      </w:r>
      <w:bookmarkEnd w:id="203"/>
    </w:p>
    <w:p w14:paraId="0A89DF5C">
      <w:pPr>
        <w:keepNext w:val="0"/>
        <w:keepLines w:val="0"/>
        <w:pageBreakBefore w:val="0"/>
        <w:widowControl w:val="0"/>
        <w:kinsoku/>
        <w:wordWrap/>
        <w:overflowPunct w:val="0"/>
        <w:topLinePunct w:val="0"/>
        <w:autoSpaceDE/>
        <w:autoSpaceDN/>
        <w:bidi w:val="0"/>
        <w:adjustRightInd/>
        <w:snapToGrid/>
        <w:spacing w:line="57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源头防范，健全捕捉风险隐患弱信号工作机制，推动公共安全治理向事前预防转型。深化社会治安整体防控，注重专群结合、群防群治，深化拓展网格化服务管理，常态化开展社会治安“昼护夜巡”行动。纵深推进常态化扫黑除恶斗争，加大预防和打击邪教、毒品犯罪等力度，依法严厉打击整治电信网络诈骗等突出违法行为。加强未成年人违法犯罪预防和治理，提升刑满释放人员、严重精神障碍患者等特殊群体服务管理效能，坚决遏制重大群体性和恶性极端案（事）件发生。</w:t>
      </w:r>
    </w:p>
    <w:p w14:paraId="0C36E3DE">
      <w:pPr>
        <w:keepNext w:val="0"/>
        <w:keepLines w:val="0"/>
        <w:pageBreakBefore w:val="0"/>
        <w:widowControl w:val="0"/>
        <w:kinsoku/>
        <w:wordWrap/>
        <w:overflowPunct w:val="0"/>
        <w:topLinePunct w:val="0"/>
        <w:autoSpaceDE/>
        <w:autoSpaceDN/>
        <w:bidi w:val="0"/>
        <w:adjustRightInd/>
        <w:snapToGrid/>
        <w:spacing w:before="156" w:beforeLines="50" w:after="156" w:afterLines="50" w:line="570" w:lineRule="exact"/>
        <w:ind w:firstLine="0" w:firstLineChars="0"/>
        <w:jc w:val="center"/>
        <w:textAlignment w:val="auto"/>
        <w:outlineLvl w:val="2"/>
        <w:rPr>
          <w:rFonts w:hint="default" w:ascii="Times New Roman" w:hAnsi="Times New Roman" w:eastAsia="方正楷体简体" w:cs="Times New Roman"/>
          <w:bCs/>
        </w:rPr>
      </w:pPr>
      <w:bookmarkStart w:id="204" w:name="_Toc12230"/>
      <w:r>
        <w:rPr>
          <w:rFonts w:hint="default" w:ascii="Times New Roman" w:hAnsi="Times New Roman" w:eastAsia="方正楷体简体" w:cs="Times New Roman"/>
          <w:bCs/>
        </w:rPr>
        <w:t>第二节  全面提高社会治理效能</w:t>
      </w:r>
      <w:bookmarkEnd w:id="204"/>
    </w:p>
    <w:p w14:paraId="37D444EB">
      <w:pPr>
        <w:keepNext w:val="0"/>
        <w:keepLines w:val="0"/>
        <w:pageBreakBefore w:val="0"/>
        <w:widowControl w:val="0"/>
        <w:kinsoku/>
        <w:wordWrap/>
        <w:overflowPunct w:val="0"/>
        <w:topLinePunct w:val="0"/>
        <w:autoSpaceDE/>
        <w:autoSpaceDN/>
        <w:bidi w:val="0"/>
        <w:adjustRightInd/>
        <w:snapToGrid/>
        <w:spacing w:line="57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系统治理、依法治理、综合治理、源头治理，完善共建共治共享的社会治理制度。健全社会稳定风险监测预警与常态化专项整治机制，推进区、镇、村三级综治中心规范化建设，加强人民调解、行政调解和司法调解联动。推广“三三探访”等工作法，精准识别社会矛盾风险，推动问题源头化解。构建信访、调解、仲裁、行政裁决、行政复议和诉讼有机衔接的多元预防调处化解机制，促进矛盾纠纷有序化解。全面推进信访工作法治化，系统落实预防、受理、办理、监督追责与秩序维护等法治要求。厘清“受理部门管程序、办理部门管实质”的法治化路径，强化“诉访分离”，推动数据共享与协调联动，实现矛盾就地化解、难题专班攻坚。</w:t>
      </w:r>
    </w:p>
    <w:p w14:paraId="69A78EFF">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205" w:name="_Toc29163"/>
      <w:r>
        <w:rPr>
          <w:rFonts w:hint="default" w:ascii="Times New Roman" w:hAnsi="Times New Roman" w:eastAsia="方正楷体简体" w:cs="Times New Roman"/>
          <w:bCs/>
        </w:rPr>
        <w:t>第三节  深化安全生产治本攻坚</w:t>
      </w:r>
      <w:bookmarkEnd w:id="205"/>
    </w:p>
    <w:p w14:paraId="55DF9F64">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系统治理、精准施策，推进安全生产治本攻坚行动，持续开展危险化学品、煤矿、建筑施工、交通运输、城镇燃气、消防等重点领域安全专项整治，防范化解重大安全风险。构建“企业主责、政府监管、应急联动”的全链条安全生产责任制，压实企业主体责任。强化政府分级分类监管，优化监管流程、提升执法精准度。完善应急处置协同机制，形成“责任全覆盖、监管无死角、应急高效率”的安全生产治理格局。</w:t>
      </w:r>
    </w:p>
    <w:p w14:paraId="06914DB4">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206" w:name="_Toc19649"/>
      <w:r>
        <w:rPr>
          <w:rFonts w:hint="default" w:ascii="Times New Roman" w:hAnsi="Times New Roman" w:eastAsia="方正楷体简体" w:cs="Times New Roman"/>
          <w:bCs/>
        </w:rPr>
        <w:t>第四节  强化公共安全风险防范</w:t>
      </w:r>
      <w:bookmarkEnd w:id="206"/>
    </w:p>
    <w:p w14:paraId="2147B134">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强化自然灾害综合防治，优化气象、洪涝、地震、地质灾害等监测站点布局，提升灾害风险早期识别和预警能力。加强校园、养老机构、餐饮门店等人员密集场所安全监管，压实特种设备使用单位主体责任，强化日常巡查与定期检验。健全食品、药品全链条可追溯体系，筑牢安全底线。完善公共卫生安全防控机制，提升突发公共卫生事件监测预警和应急处置能力。加强对城市供水、供电、供气、供热、通信等关键基础设施的运行监控与安全维护，提升系统韧性和抗毁能力。健全道路交通应急处置机制，提升极端天气、重大活动等特殊条件下的交通应急管理水平。</w:t>
      </w:r>
    </w:p>
    <w:p w14:paraId="25218752">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207" w:name="_Toc26081"/>
      <w:r>
        <w:rPr>
          <w:rFonts w:hint="default" w:ascii="Times New Roman" w:hAnsi="Times New Roman" w:eastAsia="方正楷体简体" w:cs="Times New Roman"/>
          <w:bCs/>
        </w:rPr>
        <w:t>第五节  提升应急救援处置能力</w:t>
      </w:r>
      <w:bookmarkEnd w:id="207"/>
    </w:p>
    <w:p w14:paraId="72E025C5">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大应急、大救援、大安全”理念，加快推进应急管理体系和能力现代化。健全应急指挥、风险研判、灾情响应联动机制，强化区、镇（街）两级应急指挥平台协同。建强以综合性消防救援队伍为主力、专业队伍为协同、基层及社会应急力量为补充的应急救援队伍，加强实战化演练和装备保障。完善人员紧急疏散安置预案，优化应急物资储备库布局与调拨配送机制，保障灾时生活必需品供应稳定。重点提升泗河、洸府河等流域防汛救灾能力，健全监测预警设施，细化防汛应急预案并加强演练，筑牢流域防灾减灾体系。</w:t>
      </w:r>
    </w:p>
    <w:p w14:paraId="59A23456">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208" w:name="_Toc13641"/>
      <w:bookmarkStart w:id="209" w:name="_Toc24729"/>
      <w:r>
        <w:rPr>
          <w:rFonts w:hint="default" w:ascii="Times New Roman" w:hAnsi="Times New Roman" w:eastAsia="方正黑体简体" w:cs="Times New Roman"/>
        </w:rPr>
        <w:t>第三章  推进法治兖州建设</w:t>
      </w:r>
      <w:bookmarkEnd w:id="208"/>
      <w:bookmarkEnd w:id="209"/>
    </w:p>
    <w:p w14:paraId="159EA1E0">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统筹推进法治兖州、法治政府、法治社会一体建设，积极为经济社会高质量发展提供坚实法治保障。</w:t>
      </w:r>
    </w:p>
    <w:p w14:paraId="4974AB48">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210" w:name="_Toc28583"/>
      <w:r>
        <w:rPr>
          <w:rFonts w:hint="default" w:ascii="Times New Roman" w:hAnsi="Times New Roman" w:eastAsia="方正楷体简体" w:cs="Times New Roman"/>
          <w:bCs/>
        </w:rPr>
        <w:t>第一节  纵深推进依法治区</w:t>
      </w:r>
      <w:bookmarkEnd w:id="210"/>
    </w:p>
    <w:p w14:paraId="0FFE858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6"/>
          <w:sz w:val="32"/>
        </w:rPr>
      </w:pPr>
      <w:r>
        <w:rPr>
          <w:rFonts w:hint="default" w:ascii="Times New Roman" w:hAnsi="Times New Roman" w:eastAsia="方正仿宋简体" w:cs="Times New Roman"/>
          <w:spacing w:val="-6"/>
          <w:sz w:val="32"/>
        </w:rPr>
        <w:t>全面压实党政主要负责人履行推进法治建设第一责任人职责，完善司法公正和评价机制，规范司法权力运行，落实司法责任制，提升办案质效。强化检察监督，加强公益诉讼。推动大数据、人工智能在执法司法中的深度融合与应用。加强法治社会建设，推进“九五”普法，实施“法治带头人”“法律明白人”培育工程，优化社区网格治理，提升服务精细化水平。坚持男女平等基本国策，保障妇女儿童合法权益，保障妇女依法平等参与经济社会发展、平等行使民主权利、平等享有改革发展成果。</w:t>
      </w:r>
    </w:p>
    <w:p w14:paraId="23764CE3">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211" w:name="_Toc7169"/>
      <w:r>
        <w:rPr>
          <w:rFonts w:hint="default" w:ascii="Times New Roman" w:hAnsi="Times New Roman" w:eastAsia="方正楷体简体" w:cs="Times New Roman"/>
          <w:bCs/>
        </w:rPr>
        <w:t>第二节  强化法治政府建设</w:t>
      </w:r>
      <w:bookmarkEnd w:id="211"/>
    </w:p>
    <w:p w14:paraId="528AF471">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健全依法决策机制，严格执行重大行政决策全流程审查，确保程序规范、内容合法。全面推行行政执法“三项制度”，依托数字平台规范涉企行政检查，加强行政执法监督与执法队伍专业能力建设。构建系统完善的行政执法协调监督体系，推进严格规范公正文明执法。畅通行政复议渠道，强化行政复议与行政诉讼衔接，促进行政争议实质性、多元化解决。</w:t>
      </w:r>
    </w:p>
    <w:p w14:paraId="64849B05">
      <w:pPr>
        <w:keepNext w:val="0"/>
        <w:keepLines w:val="0"/>
        <w:pageBreakBefore w:val="0"/>
        <w:widowControl w:val="0"/>
        <w:kinsoku/>
        <w:wordWrap/>
        <w:overflowPunct w:val="0"/>
        <w:topLinePunct w:val="0"/>
        <w:autoSpaceDE/>
        <w:autoSpaceDN/>
        <w:bidi w:val="0"/>
        <w:adjustRightInd/>
        <w:snapToGrid/>
        <w:spacing w:before="156" w:beforeLines="50" w:after="156" w:afterLines="50" w:line="560" w:lineRule="exact"/>
        <w:ind w:firstLine="0" w:firstLineChars="0"/>
        <w:jc w:val="center"/>
        <w:textAlignment w:val="auto"/>
        <w:outlineLvl w:val="2"/>
        <w:rPr>
          <w:rFonts w:hint="default" w:ascii="Times New Roman" w:hAnsi="Times New Roman" w:eastAsia="方正楷体简体" w:cs="Times New Roman"/>
          <w:bCs/>
        </w:rPr>
      </w:pPr>
      <w:bookmarkStart w:id="212" w:name="_Toc17666"/>
      <w:r>
        <w:rPr>
          <w:rFonts w:hint="default" w:ascii="Times New Roman" w:hAnsi="Times New Roman" w:eastAsia="方正楷体简体" w:cs="Times New Roman"/>
          <w:bCs/>
        </w:rPr>
        <w:t>第三节  提升法治治理水平</w:t>
      </w:r>
      <w:bookmarkEnd w:id="212"/>
    </w:p>
    <w:p w14:paraId="05F6C77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eastAsia="方正仿宋简体" w:cs="Times New Roman"/>
        </w:rPr>
        <w:t>加快构建覆盖城乡、便捷高效、均等普惠的现代公共法律服务网络，推动镇街公共法律服务实体平台与司法所一体规划建设。持续优化涉企法律服务，平等保护各类经营主体产权和合法权益，积极营造法治化营商环境。推进公证服务数字化转型，拓展“互联网+公证”服务模式，打造“公证+”综合法律服务体系，促进公证服务与经济社会深度融合。</w:t>
      </w:r>
      <w:r>
        <w:rPr>
          <w:rFonts w:hint="default" w:ascii="Times New Roman" w:hAnsi="Times New Roman" w:cs="Times New Roman"/>
        </w:rPr>
        <w:br w:type="page"/>
      </w:r>
    </w:p>
    <w:p w14:paraId="2370E110">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213" w:name="_Toc26762"/>
    </w:p>
    <w:p w14:paraId="7368538F">
      <w:pPr>
        <w:pStyle w:val="47"/>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_GBK" w:cs="Times New Roman"/>
          <w:sz w:val="36"/>
          <w:szCs w:val="36"/>
        </w:rPr>
      </w:pPr>
      <w:bookmarkStart w:id="214" w:name="_Toc16001"/>
      <w:r>
        <w:rPr>
          <w:rFonts w:hint="default" w:ascii="Times New Roman" w:hAnsi="Times New Roman" w:eastAsia="方正小标宋_GBK" w:cs="Times New Roman"/>
          <w:sz w:val="36"/>
          <w:szCs w:val="36"/>
        </w:rPr>
        <w:t>第十三篇  坚持和加强党的全面领导，为“十五五”</w:t>
      </w:r>
      <w:r>
        <w:rPr>
          <w:rFonts w:hint="default" w:ascii="Times New Roman" w:hAnsi="Times New Roman" w:eastAsia="方正小标宋_GBK" w:cs="Times New Roman"/>
          <w:sz w:val="36"/>
          <w:szCs w:val="36"/>
        </w:rPr>
        <w:br w:type="textWrapping"/>
      </w:r>
      <w:r>
        <w:rPr>
          <w:rFonts w:hint="default" w:ascii="Times New Roman" w:hAnsi="Times New Roman" w:eastAsia="方正小标宋_GBK" w:cs="Times New Roman"/>
          <w:sz w:val="36"/>
          <w:szCs w:val="36"/>
        </w:rPr>
        <w:t>规划顺利实现提供坚实保障</w:t>
      </w:r>
      <w:bookmarkEnd w:id="213"/>
      <w:bookmarkEnd w:id="214"/>
    </w:p>
    <w:p w14:paraId="3463DB84">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215" w:name="_Toc14450"/>
      <w:bookmarkStart w:id="216" w:name="_Toc12345"/>
      <w:r>
        <w:rPr>
          <w:rFonts w:hint="default" w:ascii="Times New Roman" w:hAnsi="Times New Roman" w:eastAsia="方正黑体简体" w:cs="Times New Roman"/>
        </w:rPr>
        <w:t>第一章  坚持党的全面领导</w:t>
      </w:r>
      <w:bookmarkEnd w:id="215"/>
      <w:bookmarkEnd w:id="216"/>
    </w:p>
    <w:p w14:paraId="546D1D48">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以习近平新时代中国特色社会主义思想为指导，全面落实党的二十大和二十届历次全会精神，深入学习贯彻习近平总书记的重要论述和重要指示精神，深刻领悟“两个确立”的决定性意义，自觉增强“四个意识”、坚定“四个自信”、做到“两个维护”。强化政治监督，不断提高政治判断力、政治领悟力、政治执行力，确保党中央各项决策部署及省、市工作要求不折不扣落地落实。健全党委领导经济社会发展、制定重大决策、推进任务落实的工作机制，完善重大事项集体决策和专家审议制度。压实各级党组织领导和落实责任，为实现“十五五”发展目标提供坚强政治保证。</w:t>
      </w:r>
    </w:p>
    <w:p w14:paraId="5A0E6948">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217" w:name="_Toc15761"/>
      <w:bookmarkStart w:id="218" w:name="_Toc2945"/>
      <w:r>
        <w:rPr>
          <w:rFonts w:hint="default" w:ascii="Times New Roman" w:hAnsi="Times New Roman" w:eastAsia="方正黑体简体" w:cs="Times New Roman"/>
        </w:rPr>
        <w:t>第二章  健全</w:t>
      </w:r>
      <w:bookmarkEnd w:id="217"/>
      <w:r>
        <w:rPr>
          <w:rFonts w:hint="default" w:ascii="Times New Roman" w:hAnsi="Times New Roman" w:eastAsia="方正黑体简体" w:cs="Times New Roman"/>
        </w:rPr>
        <w:t>统一规划体系</w:t>
      </w:r>
      <w:bookmarkEnd w:id="218"/>
    </w:p>
    <w:p w14:paraId="18949A1D">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突出规划前瞻性引领性功能作用，强化对生产要素和资源环境的规划调控，形成以发展规划为统领、空间规划为基础，专项规划、区域规划为支撑，定位准确、边界清晰、功能互补、统一衔接的规划体系。加强与国家、省、市规划衔接，确保和上级的战略意图、主要任务一脉相承。统筹规划管理，实现各级各类规划在总体要求上指向一致、空间配置上相互协调、指标安排上操作可行、时间安排上科学有序，确保规划安排落到实处。</w:t>
      </w:r>
    </w:p>
    <w:p w14:paraId="1CA638BC">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219" w:name="_Toc8078"/>
      <w:bookmarkStart w:id="220" w:name="_Toc13087"/>
      <w:r>
        <w:rPr>
          <w:rFonts w:hint="default" w:ascii="Times New Roman" w:hAnsi="Times New Roman" w:eastAsia="方正黑体简体" w:cs="Times New Roman"/>
        </w:rPr>
        <w:t>第三章  强化资源要素保障</w:t>
      </w:r>
      <w:bookmarkEnd w:id="219"/>
      <w:bookmarkEnd w:id="220"/>
    </w:p>
    <w:p w14:paraId="6F58BC9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坚持系统观念，统筹整合财政、金融、土地、人才、能源、数据、环境等关键要素，为规划实施提供系统性支撑。发挥财政资金统筹整合和引导作用，创新投融资机制，拓宽市场化、社会化融资渠道，保障重大项目和重点领域投入。优化国土空间规划和用途管制，保障重大项目合理用地需求，推动土地集约高效利用。深入实施人才强区战略，完善“引育用留”机制，推动人才链与产业链、创新链深度融合。增强能源资源安全保障能力，推动能源结构优化调整。完善新一代信息基础设施，促进数据资源开放共享和价值释放。严格落实生态环境分区管控，保障重大项目污染物排放指标，推动发展方式绿色低碳转型，为规划实施奠定坚实要素基础。</w:t>
      </w:r>
    </w:p>
    <w:p w14:paraId="4B4173A5">
      <w:pPr>
        <w:pStyle w:val="45"/>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textAlignment w:val="auto"/>
        <w:rPr>
          <w:rFonts w:hint="default" w:ascii="Times New Roman" w:hAnsi="Times New Roman" w:eastAsia="方正黑体简体" w:cs="Times New Roman"/>
        </w:rPr>
      </w:pPr>
      <w:bookmarkStart w:id="221" w:name="_Toc30203"/>
      <w:bookmarkStart w:id="222" w:name="_Toc28567"/>
      <w:r>
        <w:rPr>
          <w:rFonts w:hint="default" w:ascii="Times New Roman" w:hAnsi="Times New Roman" w:eastAsia="方正黑体简体" w:cs="Times New Roman"/>
        </w:rPr>
        <w:t xml:space="preserve">第四章  </w:t>
      </w:r>
      <w:bookmarkEnd w:id="221"/>
      <w:r>
        <w:rPr>
          <w:rFonts w:hint="default" w:ascii="Times New Roman" w:hAnsi="Times New Roman" w:eastAsia="方正黑体简体" w:cs="Times New Roman"/>
        </w:rPr>
        <w:t>加强规划实施监督</w:t>
      </w:r>
      <w:bookmarkEnd w:id="222"/>
    </w:p>
    <w:p w14:paraId="3009CB8E">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更好发挥人大依法监督、政协民主监督作用，加强规划实施过程监管。积极建设政府与企业、社会的互动平台，健全信息沟通和交流机制，充分调动全社会力量，增进最大共识度，形成最大凝聚力，促进规划有效实施。构建“年度监测—中期评估—期末总结”动态评估体系，及时发现问题并优化调整实施路径。通过多元参与、科学评估、及时优化的闭环管理，确保“十五五”各项目标任务科学推进、有效落实。</w:t>
      </w:r>
    </w:p>
    <w:p w14:paraId="34EFE93D">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十五五”规划是未来五年兖州经济社会发展的纲领性文件，是全区人民共同行动的指南。全区上下要进一步解放思想、振奋精神、勇毅前行、锐意进取，把宏伟蓝图转化为实际行动，为全面建设社会主义现代化强区、谱写走在前列的兖州新篇章而努力奋斗！</w:t>
      </w:r>
    </w:p>
    <w:bookmarkEnd w:id="224"/>
    <w:p w14:paraId="32079083">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087B7897">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467A97AA">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7832C351">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32AF5DA8">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56195D58">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61A9E0C8">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3078A265">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2A70E984">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00DDA65E">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14AEE729">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13FC2404">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095C058C">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6D5D076F">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27F8BD78">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5AD869C4">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02E4DFD6">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16F1798D">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5B84503B">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7641E75A">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26667FF8">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387A3581">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7C41638A">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68DB83CC">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42CE96EF">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26503626">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07151FDD">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72223BD5">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6B1787D6">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50BC1884">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637C9D3C">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70A68B61">
      <w:pPr>
        <w:overflowPunct w:val="0"/>
        <w:snapToGrid w:val="0"/>
        <w:spacing w:line="240" w:lineRule="exact"/>
        <w:ind w:firstLine="624" w:firstLineChars="0"/>
        <w:rPr>
          <w:rFonts w:hint="default" w:ascii="Times New Roman" w:hAnsi="Times New Roman" w:eastAsia="仿宋" w:cs="Times New Roman"/>
          <w:bCs/>
          <w:sz w:val="24"/>
          <w14:ligatures w14:val="none"/>
        </w:rPr>
      </w:pPr>
    </w:p>
    <w:p w14:paraId="64CC6AFF">
      <w:pPr>
        <w:keepNext w:val="0"/>
        <w:keepLines w:val="0"/>
        <w:pageBreakBefore w:val="0"/>
        <w:widowControl w:val="0"/>
        <w:kinsoku/>
        <w:wordWrap/>
        <w:overflowPunct w:val="0"/>
        <w:topLinePunct w:val="0"/>
        <w:autoSpaceDE/>
        <w:autoSpaceDN/>
        <w:bidi w:val="0"/>
        <w:adjustRightInd w:val="0"/>
        <w:snapToGrid w:val="0"/>
        <w:spacing w:line="480" w:lineRule="exact"/>
        <w:ind w:left="160" w:leftChars="50" w:firstLine="0" w:firstLineChars="0"/>
        <w:textAlignment w:val="auto"/>
        <w:rPr>
          <w:rFonts w:hint="default" w:ascii="Times New Roman" w:hAnsi="Times New Roman" w:eastAsia="方正仿宋简体" w:cs="Times New Roman"/>
          <w:bCs/>
          <w:kern w:val="0"/>
          <w:sz w:val="28"/>
          <w:szCs w:val="28"/>
          <w:lang w:bidi="en-US"/>
          <w14:ligatures w14:val="none"/>
        </w:rPr>
      </w:pPr>
      <w:r>
        <w:rPr>
          <w:rFonts w:hint="default" w:ascii="Times New Roman" w:hAnsi="Times New Roman" w:eastAsia="方正仿宋简体" w:cs="Times New Roman"/>
          <w:bCs/>
          <w:sz w:val="20"/>
          <w14:ligatures w14:val="none"/>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68580</wp:posOffset>
                </wp:positionV>
                <wp:extent cx="5615940" cy="0"/>
                <wp:effectExtent l="9525" t="11430" r="13335" b="7620"/>
                <wp:wrapSquare wrapText="bothSides"/>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ln>
                      </wps:spPr>
                      <wps:bodyPr/>
                    </wps:wsp>
                  </a:graphicData>
                </a:graphic>
              </wp:anchor>
            </w:drawing>
          </mc:Choice>
          <mc:Fallback>
            <w:pict>
              <v:line id="_x0000_s1026" o:spid="_x0000_s1026" o:spt="20" style="position:absolute;left:0pt;margin-top:5.4pt;height:0pt;width:442.2pt;mso-position-horizontal:center;mso-position-horizontal-relative:margin;mso-wrap-distance-bottom:0pt;mso-wrap-distance-left:9pt;mso-wrap-distance-right:9pt;mso-wrap-distance-top:0pt;z-index:251663360;mso-width-relative:page;mso-height-relative:page;" filled="f" stroked="t" coordsize="21600,21600" o:gfxdata="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PKtJ9QA&#10;AAAGAQAADwAAAAAAAAABACAAAAAiAAAAZHJzL2Rvd25yZXYueG1sUEsBAhQAFAAAAAgAh07iQF8U&#10;3TLqAQAAtgMAAA4AAAAAAAAAAQAgAAAAIwEAAGRycy9lMm9Eb2MueG1sUEsFBgAAAAAGAAYAWQEA&#10;AH8FAAAAAA==&#10;">
                <v:fill on="f" focussize="0,0"/>
                <v:stroke weight="1pt" color="#000000" joinstyle="round"/>
                <v:imagedata o:title=""/>
                <o:lock v:ext="edit" aspectratio="f"/>
                <w10:wrap type="square"/>
              </v:line>
            </w:pict>
          </mc:Fallback>
        </mc:AlternateContent>
      </w:r>
      <w:r>
        <w:rPr>
          <w:rFonts w:hint="default" w:ascii="Times New Roman" w:hAnsi="Times New Roman" w:eastAsia="方正仿宋简体" w:cs="Times New Roman"/>
          <w:bCs/>
          <w:snapToGrid w:val="0"/>
          <w:sz w:val="28"/>
          <w:szCs w:val="28"/>
          <w14:ligatures w14:val="none"/>
        </w:rPr>
        <w:t>抄送：</w:t>
      </w:r>
      <w:r>
        <w:rPr>
          <w:rFonts w:hint="default" w:ascii="Times New Roman" w:hAnsi="Times New Roman" w:eastAsia="方正仿宋简体" w:cs="Times New Roman"/>
          <w:bCs/>
          <w:kern w:val="0"/>
          <w:sz w:val="28"/>
          <w:szCs w:val="28"/>
          <w:lang w:bidi="en-US"/>
          <w14:ligatures w14:val="none"/>
        </w:rPr>
        <w:t>区委办公室，区人大常委会办公室，区政协办公室，区法院，</w:t>
      </w:r>
    </w:p>
    <w:p w14:paraId="0789AFF8">
      <w:pPr>
        <w:keepNext w:val="0"/>
        <w:keepLines w:val="0"/>
        <w:pageBreakBefore w:val="0"/>
        <w:widowControl w:val="0"/>
        <w:kinsoku/>
        <w:wordWrap/>
        <w:overflowPunct w:val="0"/>
        <w:topLinePunct w:val="0"/>
        <w:autoSpaceDE/>
        <w:autoSpaceDN/>
        <w:bidi w:val="0"/>
        <w:adjustRightInd w:val="0"/>
        <w:snapToGrid w:val="0"/>
        <w:spacing w:line="480" w:lineRule="exact"/>
        <w:ind w:firstLine="1005" w:firstLineChars="359"/>
        <w:textAlignment w:val="auto"/>
        <w:rPr>
          <w:rFonts w:hint="default" w:ascii="Times New Roman" w:hAnsi="Times New Roman" w:eastAsia="方正仿宋简体" w:cs="Times New Roman"/>
          <w:bCs/>
          <w:snapToGrid w:val="0"/>
          <w:sz w:val="28"/>
          <w:szCs w:val="28"/>
          <w14:ligatures w14:val="none"/>
        </w:rPr>
      </w:pPr>
      <w:r>
        <w:rPr>
          <w:rFonts w:hint="default" w:ascii="Times New Roman" w:hAnsi="Times New Roman" w:eastAsia="方正仿宋简体" w:cs="Times New Roman"/>
          <w:bCs/>
          <w:kern w:val="0"/>
          <w:sz w:val="28"/>
          <w:szCs w:val="28"/>
          <w:lang w:bidi="en-US"/>
          <w14:ligatures w14:val="none"/>
        </w:rPr>
        <w:t>区检察院。</w:t>
      </w:r>
    </w:p>
    <w:p w14:paraId="6B47265E">
      <w:pPr>
        <w:keepNext w:val="0"/>
        <w:keepLines w:val="0"/>
        <w:pageBreakBefore w:val="0"/>
        <w:widowControl w:val="0"/>
        <w:kinsoku/>
        <w:wordWrap/>
        <w:overflowPunct w:val="0"/>
        <w:topLinePunct w:val="0"/>
        <w:autoSpaceDE/>
        <w:autoSpaceDN/>
        <w:bidi w:val="0"/>
        <w:adjustRightInd w:val="0"/>
        <w:snapToGrid w:val="0"/>
        <w:spacing w:line="480" w:lineRule="exact"/>
        <w:ind w:left="160" w:leftChars="50" w:right="160" w:rightChars="50" w:firstLine="0" w:firstLineChars="0"/>
        <w:textAlignment w:val="auto"/>
        <w:rPr>
          <w:rFonts w:hint="default" w:ascii="Times New Roman" w:hAnsi="Times New Roman" w:eastAsia="方正仿宋简体" w:cs="Times New Roman"/>
        </w:rPr>
      </w:pPr>
      <w:r>
        <w:rPr>
          <w:rFonts w:hint="default" w:ascii="Times New Roman" w:hAnsi="Times New Roman" w:eastAsia="方正仿宋简体" w:cs="Times New Roman"/>
          <w:bCs/>
          <w:sz w:val="21"/>
          <w14:ligatures w14:val="none"/>
        </w:rPr>
        <mc:AlternateContent>
          <mc:Choice Requires="wps">
            <w:drawing>
              <wp:anchor distT="0" distB="0" distL="114300" distR="114300" simplePos="0" relativeHeight="251664384" behindDoc="0" locked="0" layoutInCell="1" allowOverlap="1">
                <wp:simplePos x="0" y="0"/>
                <wp:positionH relativeFrom="margin">
                  <wp:posOffset>-36195</wp:posOffset>
                </wp:positionH>
                <wp:positionV relativeFrom="paragraph">
                  <wp:posOffset>417830</wp:posOffset>
                </wp:positionV>
                <wp:extent cx="5615940" cy="0"/>
                <wp:effectExtent l="11430" t="8255" r="11430" b="10795"/>
                <wp:wrapSquare wrapText="bothSides"/>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ln>
                      </wps:spPr>
                      <wps:bodyPr/>
                    </wps:wsp>
                  </a:graphicData>
                </a:graphic>
              </wp:anchor>
            </w:drawing>
          </mc:Choice>
          <mc:Fallback>
            <w:pict>
              <v:line id="_x0000_s1026" o:spid="_x0000_s1026" o:spt="20" style="position:absolute;left:0pt;margin-left:-2.85pt;margin-top:32.9pt;height:0pt;width:442.2pt;mso-position-horizontal-relative:margin;mso-wrap-distance-bottom:0pt;mso-wrap-distance-left:9pt;mso-wrap-distance-right:9pt;mso-wrap-distance-top:0pt;z-index:251664384;mso-width-relative:page;mso-height-relative:page;" filled="f" stroked="t" coordsize="21600,21600" o:gfxdata="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G7&#10;y6nXAAAACAEAAA8AAAAAAAAAAQAgAAAAIgAAAGRycy9kb3ducmV2LnhtbFBLAQIUABQAAAAIAIdO&#10;4kAZlL7U6wEAALYDAAAOAAAAAAAAAAEAIAAAACYBAABkcnMvZTJvRG9jLnhtbFBLBQYAAAAABgAG&#10;AFkBAACDBQAAAAA=&#10;">
                <v:fill on="f" focussize="0,0"/>
                <v:stroke weight="1pt" color="#000000" joinstyle="round"/>
                <v:imagedata o:title=""/>
                <o:lock v:ext="edit" aspectratio="f"/>
                <w10:wrap type="square"/>
              </v:line>
            </w:pict>
          </mc:Fallback>
        </mc:AlternateContent>
      </w:r>
      <w:r>
        <w:rPr>
          <w:rFonts w:hint="default" w:ascii="Times New Roman" w:hAnsi="Times New Roman" w:eastAsia="方正仿宋简体" w:cs="Times New Roman"/>
          <w:bCs/>
          <w:sz w:val="21"/>
          <w14:ligatures w14:val="none"/>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15240</wp:posOffset>
                </wp:positionV>
                <wp:extent cx="5615940" cy="0"/>
                <wp:effectExtent l="9525" t="5715" r="13335" b="13335"/>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top:1.2pt;height:0pt;width:442.2pt;mso-position-horizontal:center;mso-position-horizontal-relative:margin;mso-wrap-distance-bottom:0pt;mso-wrap-distance-left:9pt;mso-wrap-distance-right:9pt;mso-wrap-distance-top:0pt;z-index:251665408;mso-width-relative:page;mso-height-relative:page;" filled="f" stroked="t" coordsize="21600,21600" o:gfxdata="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5daedIAAAAE&#10;AQAADwAAAAAAAAABACAAAAAiAAAAZHJzL2Rvd25yZXYueG1sUEsBAhQAFAAAAAgAh07iQGj8JBnp&#10;AQAAtQMAAA4AAAAAAAAAAQAgAAAAIQEAAGRycy9lMm9Eb2MueG1sUEsFBgAAAAAGAAYAWQEAAHwF&#10;AAAAAA==&#10;">
                <v:fill on="f" focussize="0,0"/>
                <v:stroke color="#000000" joinstyle="round"/>
                <v:imagedata o:title=""/>
                <o:lock v:ext="edit" aspectratio="f"/>
                <w10:wrap type="square"/>
              </v:line>
            </w:pict>
          </mc:Fallback>
        </mc:AlternateContent>
      </w:r>
      <w:r>
        <w:rPr>
          <w:rFonts w:hint="default" w:ascii="Times New Roman" w:hAnsi="Times New Roman" w:eastAsia="方正仿宋简体" w:cs="Times New Roman"/>
          <w:bCs/>
          <w:snapToGrid w:val="0"/>
          <w:sz w:val="28"/>
          <w:szCs w:val="28"/>
          <w14:ligatures w14:val="none"/>
        </w:rPr>
        <w:t xml:space="preserve">济宁市兖州区人民政府办公室　       </w:t>
      </w:r>
      <w:r>
        <w:rPr>
          <w:rFonts w:hint="eastAsia" w:eastAsia="方正仿宋简体" w:cs="Times New Roman"/>
          <w:bCs/>
          <w:snapToGrid w:val="0"/>
          <w:sz w:val="28"/>
          <w:szCs w:val="28"/>
          <w:lang w:val="en-US" w:eastAsia="zh-CN"/>
          <w14:ligatures w14:val="none"/>
        </w:rPr>
        <w:t xml:space="preserve"> </w:t>
      </w:r>
      <w:r>
        <w:rPr>
          <w:rFonts w:hint="default" w:ascii="Times New Roman" w:hAnsi="Times New Roman" w:eastAsia="方正仿宋简体" w:cs="Times New Roman"/>
          <w:bCs/>
          <w:snapToGrid w:val="0"/>
          <w:sz w:val="28"/>
          <w:szCs w:val="28"/>
          <w14:ligatures w14:val="none"/>
        </w:rPr>
        <w:t xml:space="preserve">     2026年</w:t>
      </w:r>
      <w:r>
        <w:rPr>
          <w:rFonts w:hint="default" w:ascii="Times New Roman" w:hAnsi="Times New Roman" w:eastAsia="方正仿宋简体" w:cs="Times New Roman"/>
          <w:bCs/>
          <w:snapToGrid w:val="0"/>
          <w:sz w:val="28"/>
          <w:szCs w:val="28"/>
          <w:lang w:val="en-US" w:eastAsia="zh-CN"/>
          <w14:ligatures w14:val="none"/>
        </w:rPr>
        <w:t>6</w:t>
      </w:r>
      <w:r>
        <w:rPr>
          <w:rFonts w:hint="default" w:ascii="Times New Roman" w:hAnsi="Times New Roman" w:eastAsia="方正仿宋简体" w:cs="Times New Roman"/>
          <w:bCs/>
          <w:snapToGrid w:val="0"/>
          <w:sz w:val="28"/>
          <w:szCs w:val="28"/>
          <w14:ligatures w14:val="none"/>
        </w:rPr>
        <w:t>月</w:t>
      </w:r>
      <w:r>
        <w:rPr>
          <w:rFonts w:hint="default" w:ascii="Times New Roman" w:hAnsi="Times New Roman" w:eastAsia="方正仿宋简体" w:cs="Times New Roman"/>
          <w:bCs/>
          <w:snapToGrid w:val="0"/>
          <w:sz w:val="28"/>
          <w:szCs w:val="28"/>
          <w:lang w:val="en-US" w:eastAsia="zh-CN"/>
          <w14:ligatures w14:val="none"/>
        </w:rPr>
        <w:t>30</w:t>
      </w:r>
      <w:r>
        <w:rPr>
          <w:rFonts w:hint="default" w:ascii="Times New Roman" w:hAnsi="Times New Roman" w:eastAsia="方正仿宋简体" w:cs="Times New Roman"/>
          <w:bCs/>
          <w:snapToGrid w:val="0"/>
          <w:sz w:val="28"/>
          <w:szCs w:val="28"/>
          <w14:ligatures w14:val="none"/>
        </w:rPr>
        <w:t>日印发</w:t>
      </w:r>
      <w:bookmarkStart w:id="223" w:name="主题词"/>
      <w:bookmarkEnd w:id="223"/>
    </w:p>
    <w:sectPr>
      <w:pgSz w:w="11906" w:h="16838"/>
      <w:pgMar w:top="2155" w:right="1588" w:bottom="1304" w:left="1588" w:header="1361" w:footer="1418"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673E">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BA2BE">
                          <w:pPr>
                            <w:pStyle w:val="17"/>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1BA2BE">
                    <w:pPr>
                      <w:pStyle w:val="17"/>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8070">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236F">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2454">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7FD10">
                          <w:pPr>
                            <w:pStyle w:val="17"/>
                            <w:ind w:firstLine="0" w:firstLineChars="0"/>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99</w:t>
                          </w:r>
                          <w:r>
                            <w:rPr>
                              <w:rFonts w:cs="Times New Roman"/>
                              <w:sz w:val="28"/>
                              <w:szCs w:val="28"/>
                            </w:rPr>
                            <w:fldChar w:fldCharType="end"/>
                          </w:r>
                          <w:r>
                            <w:rPr>
                              <w:rFonts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F7FD10">
                    <w:pPr>
                      <w:pStyle w:val="17"/>
                      <w:ind w:firstLine="0" w:firstLineChars="0"/>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99</w:t>
                    </w:r>
                    <w:r>
                      <w:rPr>
                        <w:rFonts w:cs="Times New Roman"/>
                        <w:sz w:val="28"/>
                        <w:szCs w:val="28"/>
                      </w:rPr>
                      <w:fldChar w:fldCharType="end"/>
                    </w:r>
                    <w:r>
                      <w:rPr>
                        <w:rFonts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B27A">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11EB">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311F">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35E2"/>
    <w:multiLevelType w:val="singleLevel"/>
    <w:tmpl w:val="842A35E2"/>
    <w:lvl w:ilvl="0" w:tentative="0">
      <w:start w:val="4"/>
      <w:numFmt w:val="decimal"/>
      <w:lvlText w:val="%1."/>
      <w:lvlJc w:val="left"/>
      <w:pPr>
        <w:tabs>
          <w:tab w:val="left" w:pos="312"/>
        </w:tabs>
      </w:pPr>
    </w:lvl>
  </w:abstractNum>
  <w:abstractNum w:abstractNumId="1">
    <w:nsid w:val="354BF19F"/>
    <w:multiLevelType w:val="singleLevel"/>
    <w:tmpl w:val="354BF19F"/>
    <w:lvl w:ilvl="0" w:tentative="0">
      <w:start w:val="14"/>
      <w:numFmt w:val="decimal"/>
      <w:suff w:val="space"/>
      <w:lvlText w:val="%1."/>
      <w:lvlJc w:val="left"/>
    </w:lvl>
  </w:abstractNum>
  <w:abstractNum w:abstractNumId="2">
    <w:nsid w:val="5A57D7C4"/>
    <w:multiLevelType w:val="singleLevel"/>
    <w:tmpl w:val="5A57D7C4"/>
    <w:lvl w:ilvl="0" w:tentative="0">
      <w:start w:val="19"/>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YjgwM2VhODUwNDVmYzQyODNmNWRhY2VhMmYzNmQifQ=="/>
  </w:docVars>
  <w:rsids>
    <w:rsidRoot w:val="00DA38C9"/>
    <w:rsid w:val="00013F2E"/>
    <w:rsid w:val="00025367"/>
    <w:rsid w:val="000320D4"/>
    <w:rsid w:val="00033F0B"/>
    <w:rsid w:val="00037D30"/>
    <w:rsid w:val="0005693A"/>
    <w:rsid w:val="000749F5"/>
    <w:rsid w:val="0008023C"/>
    <w:rsid w:val="0008200F"/>
    <w:rsid w:val="000851D0"/>
    <w:rsid w:val="000853F5"/>
    <w:rsid w:val="000A56B5"/>
    <w:rsid w:val="000B21E0"/>
    <w:rsid w:val="000B4EEC"/>
    <w:rsid w:val="000B5AD9"/>
    <w:rsid w:val="00126329"/>
    <w:rsid w:val="0013024E"/>
    <w:rsid w:val="0014172F"/>
    <w:rsid w:val="001574B3"/>
    <w:rsid w:val="00165ECE"/>
    <w:rsid w:val="00172452"/>
    <w:rsid w:val="00183849"/>
    <w:rsid w:val="001D1F5C"/>
    <w:rsid w:val="001E1705"/>
    <w:rsid w:val="00215BF5"/>
    <w:rsid w:val="0021735B"/>
    <w:rsid w:val="0029168D"/>
    <w:rsid w:val="002929BA"/>
    <w:rsid w:val="002C458F"/>
    <w:rsid w:val="002E4877"/>
    <w:rsid w:val="002F5582"/>
    <w:rsid w:val="00320A6D"/>
    <w:rsid w:val="003269EF"/>
    <w:rsid w:val="0035386F"/>
    <w:rsid w:val="0036122D"/>
    <w:rsid w:val="003735D9"/>
    <w:rsid w:val="003770DE"/>
    <w:rsid w:val="00386B43"/>
    <w:rsid w:val="0039165D"/>
    <w:rsid w:val="00395B71"/>
    <w:rsid w:val="003A17BA"/>
    <w:rsid w:val="003B77A7"/>
    <w:rsid w:val="003E2B92"/>
    <w:rsid w:val="003E2DDC"/>
    <w:rsid w:val="003F5E7E"/>
    <w:rsid w:val="004A479D"/>
    <w:rsid w:val="004E584B"/>
    <w:rsid w:val="004F49E3"/>
    <w:rsid w:val="00500ABA"/>
    <w:rsid w:val="005027AD"/>
    <w:rsid w:val="00521AD2"/>
    <w:rsid w:val="00544D97"/>
    <w:rsid w:val="00545C2C"/>
    <w:rsid w:val="00577B14"/>
    <w:rsid w:val="0058783A"/>
    <w:rsid w:val="00593CF6"/>
    <w:rsid w:val="005A1F20"/>
    <w:rsid w:val="005A33C5"/>
    <w:rsid w:val="005B38B8"/>
    <w:rsid w:val="005B73CE"/>
    <w:rsid w:val="005C2263"/>
    <w:rsid w:val="00611C54"/>
    <w:rsid w:val="00640DC9"/>
    <w:rsid w:val="006634E0"/>
    <w:rsid w:val="00664283"/>
    <w:rsid w:val="00667FEE"/>
    <w:rsid w:val="00673F6D"/>
    <w:rsid w:val="0067729D"/>
    <w:rsid w:val="006A31CB"/>
    <w:rsid w:val="006C6718"/>
    <w:rsid w:val="006D5644"/>
    <w:rsid w:val="006F2183"/>
    <w:rsid w:val="00704F56"/>
    <w:rsid w:val="00714C2F"/>
    <w:rsid w:val="0078740D"/>
    <w:rsid w:val="007A5941"/>
    <w:rsid w:val="007B60C5"/>
    <w:rsid w:val="007E5E22"/>
    <w:rsid w:val="007E627B"/>
    <w:rsid w:val="007E7CD5"/>
    <w:rsid w:val="00835CE0"/>
    <w:rsid w:val="0085744A"/>
    <w:rsid w:val="00861FAB"/>
    <w:rsid w:val="00871A18"/>
    <w:rsid w:val="008763B4"/>
    <w:rsid w:val="00893031"/>
    <w:rsid w:val="00893EA5"/>
    <w:rsid w:val="008B1C8B"/>
    <w:rsid w:val="008F064E"/>
    <w:rsid w:val="008F1F93"/>
    <w:rsid w:val="009019E3"/>
    <w:rsid w:val="00917D81"/>
    <w:rsid w:val="009409FD"/>
    <w:rsid w:val="0094480B"/>
    <w:rsid w:val="009814C9"/>
    <w:rsid w:val="00981FB5"/>
    <w:rsid w:val="009B4EB8"/>
    <w:rsid w:val="009C6C16"/>
    <w:rsid w:val="009D576B"/>
    <w:rsid w:val="009D6BDF"/>
    <w:rsid w:val="009E6F9A"/>
    <w:rsid w:val="009F4C1B"/>
    <w:rsid w:val="00A44209"/>
    <w:rsid w:val="00A454FE"/>
    <w:rsid w:val="00A74AD7"/>
    <w:rsid w:val="00AD0BCC"/>
    <w:rsid w:val="00AE484F"/>
    <w:rsid w:val="00AE7E0E"/>
    <w:rsid w:val="00B00BD6"/>
    <w:rsid w:val="00B33399"/>
    <w:rsid w:val="00B3388B"/>
    <w:rsid w:val="00B42441"/>
    <w:rsid w:val="00B51CB7"/>
    <w:rsid w:val="00B57916"/>
    <w:rsid w:val="00B851E4"/>
    <w:rsid w:val="00BA48F5"/>
    <w:rsid w:val="00C04F98"/>
    <w:rsid w:val="00C15277"/>
    <w:rsid w:val="00C16DF3"/>
    <w:rsid w:val="00C16F41"/>
    <w:rsid w:val="00C60160"/>
    <w:rsid w:val="00C61C28"/>
    <w:rsid w:val="00C70A6D"/>
    <w:rsid w:val="00CA6567"/>
    <w:rsid w:val="00CE0F57"/>
    <w:rsid w:val="00CF13D7"/>
    <w:rsid w:val="00D33192"/>
    <w:rsid w:val="00D34467"/>
    <w:rsid w:val="00D34540"/>
    <w:rsid w:val="00D55A9D"/>
    <w:rsid w:val="00D56F65"/>
    <w:rsid w:val="00D85066"/>
    <w:rsid w:val="00D867DF"/>
    <w:rsid w:val="00D90EDE"/>
    <w:rsid w:val="00DA38C9"/>
    <w:rsid w:val="00DD7FA6"/>
    <w:rsid w:val="00DE4CD0"/>
    <w:rsid w:val="00DF499F"/>
    <w:rsid w:val="00E254C6"/>
    <w:rsid w:val="00E26717"/>
    <w:rsid w:val="00E55545"/>
    <w:rsid w:val="00E6163D"/>
    <w:rsid w:val="00E61E75"/>
    <w:rsid w:val="00EA40ED"/>
    <w:rsid w:val="00EA6230"/>
    <w:rsid w:val="00EC141C"/>
    <w:rsid w:val="00EE2EDC"/>
    <w:rsid w:val="00F13142"/>
    <w:rsid w:val="00F1616F"/>
    <w:rsid w:val="00F2154C"/>
    <w:rsid w:val="00F47892"/>
    <w:rsid w:val="00F96D7B"/>
    <w:rsid w:val="00FA16A4"/>
    <w:rsid w:val="00FB2311"/>
    <w:rsid w:val="01437E67"/>
    <w:rsid w:val="01993D60"/>
    <w:rsid w:val="01CD13E9"/>
    <w:rsid w:val="01E84620"/>
    <w:rsid w:val="0245026B"/>
    <w:rsid w:val="026733EC"/>
    <w:rsid w:val="032D650E"/>
    <w:rsid w:val="034B7445"/>
    <w:rsid w:val="037E22D0"/>
    <w:rsid w:val="03EE04C9"/>
    <w:rsid w:val="04EE0959"/>
    <w:rsid w:val="04F217BD"/>
    <w:rsid w:val="05080FE1"/>
    <w:rsid w:val="07773D68"/>
    <w:rsid w:val="079D4E7C"/>
    <w:rsid w:val="07DD5DC8"/>
    <w:rsid w:val="08332C9D"/>
    <w:rsid w:val="084C6441"/>
    <w:rsid w:val="095622DB"/>
    <w:rsid w:val="095C2E06"/>
    <w:rsid w:val="09664528"/>
    <w:rsid w:val="0A114061"/>
    <w:rsid w:val="0B8909A2"/>
    <w:rsid w:val="0BE20D0F"/>
    <w:rsid w:val="0BF77E7E"/>
    <w:rsid w:val="0BFA364D"/>
    <w:rsid w:val="0C4E5BBE"/>
    <w:rsid w:val="0C58031F"/>
    <w:rsid w:val="0E4518E3"/>
    <w:rsid w:val="0F3365C3"/>
    <w:rsid w:val="0F9F7E9C"/>
    <w:rsid w:val="100138AC"/>
    <w:rsid w:val="10C32C19"/>
    <w:rsid w:val="10F67AC1"/>
    <w:rsid w:val="11AC730F"/>
    <w:rsid w:val="11EC3A38"/>
    <w:rsid w:val="12B02CB8"/>
    <w:rsid w:val="12DE66BC"/>
    <w:rsid w:val="130672C6"/>
    <w:rsid w:val="136A10B9"/>
    <w:rsid w:val="13AF61AA"/>
    <w:rsid w:val="147541B9"/>
    <w:rsid w:val="15311E8E"/>
    <w:rsid w:val="15B900D5"/>
    <w:rsid w:val="16443E43"/>
    <w:rsid w:val="16EE3913"/>
    <w:rsid w:val="1711641B"/>
    <w:rsid w:val="171D4B26"/>
    <w:rsid w:val="17562080"/>
    <w:rsid w:val="177D74FA"/>
    <w:rsid w:val="17C97A12"/>
    <w:rsid w:val="17FE301F"/>
    <w:rsid w:val="18363C5F"/>
    <w:rsid w:val="195F5F86"/>
    <w:rsid w:val="197F1B3F"/>
    <w:rsid w:val="198A387A"/>
    <w:rsid w:val="19B4453B"/>
    <w:rsid w:val="1A7C4F96"/>
    <w:rsid w:val="1BE0016A"/>
    <w:rsid w:val="1BF36637"/>
    <w:rsid w:val="1BFE5139"/>
    <w:rsid w:val="1C1B3898"/>
    <w:rsid w:val="1C1E0772"/>
    <w:rsid w:val="1C3915C4"/>
    <w:rsid w:val="1CF62013"/>
    <w:rsid w:val="1D04510F"/>
    <w:rsid w:val="1D091DD5"/>
    <w:rsid w:val="1D0C12FF"/>
    <w:rsid w:val="1D2863C0"/>
    <w:rsid w:val="1D434BF2"/>
    <w:rsid w:val="1D937DCD"/>
    <w:rsid w:val="1DB04696"/>
    <w:rsid w:val="1DBE66B5"/>
    <w:rsid w:val="1DBE7234"/>
    <w:rsid w:val="1DCA10D2"/>
    <w:rsid w:val="1DEF0B38"/>
    <w:rsid w:val="1DFCB89A"/>
    <w:rsid w:val="1E3E78AC"/>
    <w:rsid w:val="1E410D8F"/>
    <w:rsid w:val="1EC07E14"/>
    <w:rsid w:val="1EEA12FF"/>
    <w:rsid w:val="1F3E10A7"/>
    <w:rsid w:val="1F5844BB"/>
    <w:rsid w:val="1F7312F5"/>
    <w:rsid w:val="1F9C78FB"/>
    <w:rsid w:val="1FF5F569"/>
    <w:rsid w:val="208E7FA6"/>
    <w:rsid w:val="20B81F7D"/>
    <w:rsid w:val="20DA2FDF"/>
    <w:rsid w:val="21467807"/>
    <w:rsid w:val="214A07D0"/>
    <w:rsid w:val="22421B7E"/>
    <w:rsid w:val="2298179E"/>
    <w:rsid w:val="22CE3412"/>
    <w:rsid w:val="22F1300C"/>
    <w:rsid w:val="230A3999"/>
    <w:rsid w:val="250A109A"/>
    <w:rsid w:val="25364A69"/>
    <w:rsid w:val="262670C1"/>
    <w:rsid w:val="26283EDB"/>
    <w:rsid w:val="26A01AA9"/>
    <w:rsid w:val="27460842"/>
    <w:rsid w:val="27564499"/>
    <w:rsid w:val="277D71B5"/>
    <w:rsid w:val="27FFB571"/>
    <w:rsid w:val="28011B94"/>
    <w:rsid w:val="28061393"/>
    <w:rsid w:val="284D125D"/>
    <w:rsid w:val="286E6F1C"/>
    <w:rsid w:val="28AE1719"/>
    <w:rsid w:val="29430108"/>
    <w:rsid w:val="295A4918"/>
    <w:rsid w:val="29A0362E"/>
    <w:rsid w:val="2A720B27"/>
    <w:rsid w:val="2A996B50"/>
    <w:rsid w:val="2AEB5E1B"/>
    <w:rsid w:val="2AED2E6D"/>
    <w:rsid w:val="2B3C4E50"/>
    <w:rsid w:val="2B8C79C6"/>
    <w:rsid w:val="2BAA609E"/>
    <w:rsid w:val="2BB77950"/>
    <w:rsid w:val="2BE247D1"/>
    <w:rsid w:val="2C136339"/>
    <w:rsid w:val="2CC43900"/>
    <w:rsid w:val="2CDB0CB8"/>
    <w:rsid w:val="2CFE2B8C"/>
    <w:rsid w:val="2CFF9408"/>
    <w:rsid w:val="2DE55571"/>
    <w:rsid w:val="2E6F259E"/>
    <w:rsid w:val="2EA2568A"/>
    <w:rsid w:val="2EB81707"/>
    <w:rsid w:val="2F5A7DDB"/>
    <w:rsid w:val="2FBF4CD5"/>
    <w:rsid w:val="2FC33BD3"/>
    <w:rsid w:val="2FEC7720"/>
    <w:rsid w:val="2FFFBF2D"/>
    <w:rsid w:val="307103BA"/>
    <w:rsid w:val="30A206F6"/>
    <w:rsid w:val="31FE7144"/>
    <w:rsid w:val="32203419"/>
    <w:rsid w:val="33F07CFE"/>
    <w:rsid w:val="34502204"/>
    <w:rsid w:val="345B6AD0"/>
    <w:rsid w:val="34947930"/>
    <w:rsid w:val="34973D85"/>
    <w:rsid w:val="34E65BBA"/>
    <w:rsid w:val="3519465E"/>
    <w:rsid w:val="356F2B55"/>
    <w:rsid w:val="35B759E5"/>
    <w:rsid w:val="35CFD8F9"/>
    <w:rsid w:val="366B3242"/>
    <w:rsid w:val="37215DAE"/>
    <w:rsid w:val="37B87636"/>
    <w:rsid w:val="386D0CE4"/>
    <w:rsid w:val="38BE3F90"/>
    <w:rsid w:val="38C27CB9"/>
    <w:rsid w:val="38C44D65"/>
    <w:rsid w:val="3A3F5892"/>
    <w:rsid w:val="3B4C5D5B"/>
    <w:rsid w:val="3B770157"/>
    <w:rsid w:val="3B7D557D"/>
    <w:rsid w:val="3B976A20"/>
    <w:rsid w:val="3D7604D6"/>
    <w:rsid w:val="3D9E281B"/>
    <w:rsid w:val="3DBBA6D7"/>
    <w:rsid w:val="3DF66C52"/>
    <w:rsid w:val="3E0855C8"/>
    <w:rsid w:val="3E5C7144"/>
    <w:rsid w:val="3E6B93EB"/>
    <w:rsid w:val="3E6C3DF6"/>
    <w:rsid w:val="3E77934B"/>
    <w:rsid w:val="3E9F13F5"/>
    <w:rsid w:val="3EC518A6"/>
    <w:rsid w:val="3EDB8252"/>
    <w:rsid w:val="3EE3321B"/>
    <w:rsid w:val="3EF01BEF"/>
    <w:rsid w:val="3F3D7A23"/>
    <w:rsid w:val="3FCC5568"/>
    <w:rsid w:val="3FD3C665"/>
    <w:rsid w:val="3FF1AA91"/>
    <w:rsid w:val="3FF7F562"/>
    <w:rsid w:val="3FFF0081"/>
    <w:rsid w:val="3FFFF9C3"/>
    <w:rsid w:val="41020FA7"/>
    <w:rsid w:val="410E7024"/>
    <w:rsid w:val="42255D12"/>
    <w:rsid w:val="425F778B"/>
    <w:rsid w:val="4292359A"/>
    <w:rsid w:val="42DF08CC"/>
    <w:rsid w:val="4352550E"/>
    <w:rsid w:val="439E597D"/>
    <w:rsid w:val="45042D4A"/>
    <w:rsid w:val="45687459"/>
    <w:rsid w:val="45833B23"/>
    <w:rsid w:val="472B6453"/>
    <w:rsid w:val="477D3767"/>
    <w:rsid w:val="47AD75EE"/>
    <w:rsid w:val="48974501"/>
    <w:rsid w:val="495714D8"/>
    <w:rsid w:val="49AB5F60"/>
    <w:rsid w:val="4A6F152E"/>
    <w:rsid w:val="4AD77AF3"/>
    <w:rsid w:val="4B3D7041"/>
    <w:rsid w:val="4BD7A591"/>
    <w:rsid w:val="4BF77696"/>
    <w:rsid w:val="4C5B0FC3"/>
    <w:rsid w:val="4C66754D"/>
    <w:rsid w:val="4CFFFDC3"/>
    <w:rsid w:val="4D34766E"/>
    <w:rsid w:val="4DB455D8"/>
    <w:rsid w:val="4E4C73CD"/>
    <w:rsid w:val="4ECDF308"/>
    <w:rsid w:val="4F413627"/>
    <w:rsid w:val="4FDB76FF"/>
    <w:rsid w:val="4FF6148B"/>
    <w:rsid w:val="4FFF3169"/>
    <w:rsid w:val="504601DC"/>
    <w:rsid w:val="5215352B"/>
    <w:rsid w:val="5271241E"/>
    <w:rsid w:val="52BE3641"/>
    <w:rsid w:val="531E0F9C"/>
    <w:rsid w:val="531E71EE"/>
    <w:rsid w:val="53333305"/>
    <w:rsid w:val="534F73A8"/>
    <w:rsid w:val="54051EE7"/>
    <w:rsid w:val="54307E41"/>
    <w:rsid w:val="57671164"/>
    <w:rsid w:val="576F43D5"/>
    <w:rsid w:val="581E54C0"/>
    <w:rsid w:val="5828329E"/>
    <w:rsid w:val="58894C51"/>
    <w:rsid w:val="589E6E07"/>
    <w:rsid w:val="58B57CAD"/>
    <w:rsid w:val="58F009BC"/>
    <w:rsid w:val="597D2B55"/>
    <w:rsid w:val="5AAC4548"/>
    <w:rsid w:val="5AB37090"/>
    <w:rsid w:val="5B066AA6"/>
    <w:rsid w:val="5B28537D"/>
    <w:rsid w:val="5BE34B31"/>
    <w:rsid w:val="5BF7568F"/>
    <w:rsid w:val="5CC528E5"/>
    <w:rsid w:val="5CC8730F"/>
    <w:rsid w:val="5CD45C56"/>
    <w:rsid w:val="5CD57FA8"/>
    <w:rsid w:val="5CFB3663"/>
    <w:rsid w:val="5D0638AC"/>
    <w:rsid w:val="5D25C22A"/>
    <w:rsid w:val="5DDDC0A5"/>
    <w:rsid w:val="5E547F9F"/>
    <w:rsid w:val="5E764CFB"/>
    <w:rsid w:val="5EF7BFDA"/>
    <w:rsid w:val="5F5D9923"/>
    <w:rsid w:val="5F7D2042"/>
    <w:rsid w:val="5FFFBC03"/>
    <w:rsid w:val="601A714E"/>
    <w:rsid w:val="602D6CC3"/>
    <w:rsid w:val="603A2855"/>
    <w:rsid w:val="60736ECF"/>
    <w:rsid w:val="614E45BF"/>
    <w:rsid w:val="62F03503"/>
    <w:rsid w:val="635603B9"/>
    <w:rsid w:val="6370176C"/>
    <w:rsid w:val="638D3D50"/>
    <w:rsid w:val="63AE3C76"/>
    <w:rsid w:val="63DF00D5"/>
    <w:rsid w:val="643C5726"/>
    <w:rsid w:val="647E26EA"/>
    <w:rsid w:val="649E3AFC"/>
    <w:rsid w:val="64EA7169"/>
    <w:rsid w:val="65554CF2"/>
    <w:rsid w:val="65FFC599"/>
    <w:rsid w:val="66421CB0"/>
    <w:rsid w:val="67180256"/>
    <w:rsid w:val="67D839B8"/>
    <w:rsid w:val="67DD1876"/>
    <w:rsid w:val="68026334"/>
    <w:rsid w:val="68F67EF9"/>
    <w:rsid w:val="691B6F38"/>
    <w:rsid w:val="6A4C092D"/>
    <w:rsid w:val="6A8E08F3"/>
    <w:rsid w:val="6B0C7B39"/>
    <w:rsid w:val="6BDAC261"/>
    <w:rsid w:val="6BDF5315"/>
    <w:rsid w:val="6C2F0185"/>
    <w:rsid w:val="6C7A3290"/>
    <w:rsid w:val="6CFF5543"/>
    <w:rsid w:val="6D233EA2"/>
    <w:rsid w:val="6DD5099C"/>
    <w:rsid w:val="6E963BC6"/>
    <w:rsid w:val="6EBA3E17"/>
    <w:rsid w:val="6EC266FC"/>
    <w:rsid w:val="6F2B06A4"/>
    <w:rsid w:val="6FBE3F0A"/>
    <w:rsid w:val="6FE60202"/>
    <w:rsid w:val="6FE9A825"/>
    <w:rsid w:val="6FF64735"/>
    <w:rsid w:val="6FFD91AD"/>
    <w:rsid w:val="6FFFC01E"/>
    <w:rsid w:val="70876EAC"/>
    <w:rsid w:val="71743757"/>
    <w:rsid w:val="71FE807E"/>
    <w:rsid w:val="721B07D1"/>
    <w:rsid w:val="72480078"/>
    <w:rsid w:val="72C858B7"/>
    <w:rsid w:val="73281A91"/>
    <w:rsid w:val="73FA69C3"/>
    <w:rsid w:val="74A3E258"/>
    <w:rsid w:val="75CD34A5"/>
    <w:rsid w:val="75DD4B26"/>
    <w:rsid w:val="75F67671"/>
    <w:rsid w:val="75FD4FB3"/>
    <w:rsid w:val="76BE513D"/>
    <w:rsid w:val="77242776"/>
    <w:rsid w:val="7758629E"/>
    <w:rsid w:val="777BAEC4"/>
    <w:rsid w:val="77824BB6"/>
    <w:rsid w:val="779C616D"/>
    <w:rsid w:val="77C6D3A8"/>
    <w:rsid w:val="77F229E6"/>
    <w:rsid w:val="77F54AD9"/>
    <w:rsid w:val="784321F8"/>
    <w:rsid w:val="785D4D5D"/>
    <w:rsid w:val="7865526C"/>
    <w:rsid w:val="78BC6AA1"/>
    <w:rsid w:val="78F195F6"/>
    <w:rsid w:val="791670B8"/>
    <w:rsid w:val="7972017A"/>
    <w:rsid w:val="799F7E92"/>
    <w:rsid w:val="79BE0625"/>
    <w:rsid w:val="79ED54E6"/>
    <w:rsid w:val="79FE2A1B"/>
    <w:rsid w:val="7A276B97"/>
    <w:rsid w:val="7A2F6982"/>
    <w:rsid w:val="7A432F13"/>
    <w:rsid w:val="7A53111B"/>
    <w:rsid w:val="7B546F02"/>
    <w:rsid w:val="7B5FE0D3"/>
    <w:rsid w:val="7BDD3D0A"/>
    <w:rsid w:val="7BDD6956"/>
    <w:rsid w:val="7BEFC546"/>
    <w:rsid w:val="7C0E7550"/>
    <w:rsid w:val="7C4C573A"/>
    <w:rsid w:val="7CDF424E"/>
    <w:rsid w:val="7D3B977B"/>
    <w:rsid w:val="7D53058E"/>
    <w:rsid w:val="7D7B65E0"/>
    <w:rsid w:val="7D7F9A5B"/>
    <w:rsid w:val="7DDFB306"/>
    <w:rsid w:val="7DEDA6D5"/>
    <w:rsid w:val="7E253C6C"/>
    <w:rsid w:val="7ED3EF94"/>
    <w:rsid w:val="7EDEB6F7"/>
    <w:rsid w:val="7EF752BA"/>
    <w:rsid w:val="7F18384B"/>
    <w:rsid w:val="7F345E1A"/>
    <w:rsid w:val="7F38DD17"/>
    <w:rsid w:val="7F3B5B65"/>
    <w:rsid w:val="7F67151E"/>
    <w:rsid w:val="7F7F84EF"/>
    <w:rsid w:val="7FEFAD12"/>
    <w:rsid w:val="7FFE4EF8"/>
    <w:rsid w:val="7FFF2DAF"/>
    <w:rsid w:val="839F4142"/>
    <w:rsid w:val="83DEEAEF"/>
    <w:rsid w:val="8E68A524"/>
    <w:rsid w:val="9FE314BC"/>
    <w:rsid w:val="AFB6F457"/>
    <w:rsid w:val="AFD5A1FA"/>
    <w:rsid w:val="B5FF82D8"/>
    <w:rsid w:val="B77472EF"/>
    <w:rsid w:val="B7F7979C"/>
    <w:rsid w:val="BBCBFF8C"/>
    <w:rsid w:val="BD7920EC"/>
    <w:rsid w:val="BF5DED0B"/>
    <w:rsid w:val="BFDDD068"/>
    <w:rsid w:val="BFDFD287"/>
    <w:rsid w:val="BFFF7926"/>
    <w:rsid w:val="C2DB68DF"/>
    <w:rsid w:val="D77B8A22"/>
    <w:rsid w:val="D89B9DAD"/>
    <w:rsid w:val="DBDF9F2A"/>
    <w:rsid w:val="DC3FD6D5"/>
    <w:rsid w:val="DD7B5308"/>
    <w:rsid w:val="DDBF7A1C"/>
    <w:rsid w:val="DFD61130"/>
    <w:rsid w:val="DFDFC314"/>
    <w:rsid w:val="DFECCF8F"/>
    <w:rsid w:val="DFFB6F85"/>
    <w:rsid w:val="DFFD8986"/>
    <w:rsid w:val="DFFE4EEF"/>
    <w:rsid w:val="DFFF46E5"/>
    <w:rsid w:val="E3FEAEB1"/>
    <w:rsid w:val="E6EA5B5C"/>
    <w:rsid w:val="E7DD39E5"/>
    <w:rsid w:val="E7EF1643"/>
    <w:rsid w:val="EAEDE970"/>
    <w:rsid w:val="EFFEB84C"/>
    <w:rsid w:val="F1FB8F50"/>
    <w:rsid w:val="F3FFF51D"/>
    <w:rsid w:val="F4FD1E6B"/>
    <w:rsid w:val="F5BBFFB6"/>
    <w:rsid w:val="F63F2043"/>
    <w:rsid w:val="F6EB14BC"/>
    <w:rsid w:val="F74DA60B"/>
    <w:rsid w:val="F79DD613"/>
    <w:rsid w:val="F7A767D1"/>
    <w:rsid w:val="F9776DE9"/>
    <w:rsid w:val="F9FB04A8"/>
    <w:rsid w:val="F9FFC3F8"/>
    <w:rsid w:val="FAB36487"/>
    <w:rsid w:val="FB3FBDF4"/>
    <w:rsid w:val="FB7E9AE5"/>
    <w:rsid w:val="FB7ED0B9"/>
    <w:rsid w:val="FB7EDD9D"/>
    <w:rsid w:val="FCF7E4ED"/>
    <w:rsid w:val="FDAB5206"/>
    <w:rsid w:val="FDFD074F"/>
    <w:rsid w:val="FE7AC94A"/>
    <w:rsid w:val="FEBB742D"/>
    <w:rsid w:val="FEBEB0AE"/>
    <w:rsid w:val="FEDF2CE9"/>
    <w:rsid w:val="FEEB3DF7"/>
    <w:rsid w:val="FF6B6BC4"/>
    <w:rsid w:val="FF7BA70C"/>
    <w:rsid w:val="FF7DC016"/>
    <w:rsid w:val="FF7FEDA4"/>
    <w:rsid w:val="FFDD149E"/>
    <w:rsid w:val="FFED5319"/>
    <w:rsid w:val="FFEF6722"/>
    <w:rsid w:val="FFFBB441"/>
    <w:rsid w:val="FFFF0222"/>
    <w:rsid w:val="FFFF07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32"/>
      <w:szCs w:val="24"/>
      <w:lang w:val="en-US" w:eastAsia="zh-CN" w:bidi="ar-SA"/>
      <w14:ligatures w14:val="standardContextual"/>
    </w:rPr>
  </w:style>
  <w:style w:type="paragraph" w:styleId="7">
    <w:name w:val="heading 1"/>
    <w:basedOn w:val="1"/>
    <w:next w:val="1"/>
    <w:link w:val="32"/>
    <w:autoRedefine/>
    <w:qFormat/>
    <w:uiPriority w:val="9"/>
    <w:pPr>
      <w:keepNext/>
      <w:keepLines/>
      <w:spacing w:before="340" w:after="330" w:line="578" w:lineRule="atLeast"/>
      <w:outlineLvl w:val="0"/>
    </w:pPr>
    <w:rPr>
      <w:b/>
      <w:bCs/>
      <w:kern w:val="44"/>
      <w:sz w:val="44"/>
      <w:szCs w:val="44"/>
    </w:rPr>
  </w:style>
  <w:style w:type="paragraph" w:styleId="8">
    <w:name w:val="heading 2"/>
    <w:basedOn w:val="1"/>
    <w:next w:val="1"/>
    <w:link w:val="33"/>
    <w:autoRedefine/>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9">
    <w:name w:val="heading 3"/>
    <w:basedOn w:val="1"/>
    <w:next w:val="1"/>
    <w:link w:val="34"/>
    <w:autoRedefine/>
    <w:unhideWhenUsed/>
    <w:qFormat/>
    <w:uiPriority w:val="9"/>
    <w:pPr>
      <w:keepNext/>
      <w:keepLines/>
      <w:spacing w:before="260" w:after="260" w:line="416" w:lineRule="auto"/>
      <w:outlineLvl w:val="2"/>
    </w:pPr>
    <w:rPr>
      <w:b/>
      <w:bCs/>
    </w:rPr>
  </w:style>
  <w:style w:type="paragraph" w:styleId="10">
    <w:name w:val="heading 4"/>
    <w:basedOn w:val="1"/>
    <w:next w:val="1"/>
    <w:link w:val="35"/>
    <w:autoRedefine/>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left="200"/>
    </w:pPr>
    <w:rPr>
      <w:rFonts w:ascii="Calibri" w:hAnsi="Calibri" w:eastAsia="宋体" w:cs="Times New Roman"/>
      <w:szCs w:val="32"/>
    </w:rPr>
  </w:style>
  <w:style w:type="paragraph" w:styleId="3">
    <w:name w:val="Body Text Indent"/>
    <w:basedOn w:val="1"/>
    <w:next w:val="4"/>
    <w:autoRedefine/>
    <w:qFormat/>
    <w:uiPriority w:val="0"/>
    <w:pPr>
      <w:spacing w:after="120"/>
      <w:ind w:left="420" w:leftChars="200"/>
    </w:pPr>
  </w:style>
  <w:style w:type="paragraph" w:styleId="4">
    <w:name w:val="Normal Indent"/>
    <w:basedOn w:val="1"/>
    <w:autoRedefine/>
    <w:qFormat/>
    <w:uiPriority w:val="0"/>
    <w:pPr>
      <w:spacing w:line="360" w:lineRule="auto"/>
      <w:ind w:firstLine="420"/>
    </w:pPr>
    <w:rPr>
      <w:sz w:val="24"/>
    </w:rPr>
  </w:style>
  <w:style w:type="paragraph" w:styleId="5">
    <w:name w:val="Body Text First Indent"/>
    <w:basedOn w:val="6"/>
    <w:next w:val="1"/>
    <w:autoRedefine/>
    <w:qFormat/>
    <w:uiPriority w:val="0"/>
    <w:pPr>
      <w:ind w:firstLine="100" w:firstLineChars="100"/>
    </w:pPr>
  </w:style>
  <w:style w:type="paragraph" w:styleId="6">
    <w:name w:val="Body Text"/>
    <w:basedOn w:val="1"/>
    <w:next w:val="1"/>
    <w:autoRedefine/>
    <w:qFormat/>
    <w:uiPriority w:val="0"/>
    <w:pPr>
      <w:spacing w:after="120"/>
    </w:pPr>
  </w:style>
  <w:style w:type="paragraph" w:styleId="11">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szCs w:val="22"/>
      <w14:ligatures w14:val="none"/>
    </w:rPr>
  </w:style>
  <w:style w:type="paragraph" w:styleId="12">
    <w:name w:val="annotation text"/>
    <w:basedOn w:val="1"/>
    <w:link w:val="52"/>
    <w:autoRedefine/>
    <w:semiHidden/>
    <w:unhideWhenUsed/>
    <w:qFormat/>
    <w:uiPriority w:val="99"/>
    <w:pPr>
      <w:jc w:val="left"/>
    </w:pPr>
  </w:style>
  <w:style w:type="paragraph" w:styleId="13">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szCs w:val="22"/>
      <w14:ligatures w14:val="none"/>
    </w:rPr>
  </w:style>
  <w:style w:type="paragraph" w:styleId="14">
    <w:name w:val="toc 3"/>
    <w:basedOn w:val="1"/>
    <w:next w:val="1"/>
    <w:autoRedefine/>
    <w:unhideWhenUsed/>
    <w:qFormat/>
    <w:uiPriority w:val="39"/>
    <w:pPr>
      <w:ind w:left="840" w:leftChars="400"/>
    </w:pPr>
  </w:style>
  <w:style w:type="paragraph" w:styleId="15">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szCs w:val="22"/>
      <w14:ligatures w14:val="none"/>
    </w:rPr>
  </w:style>
  <w:style w:type="paragraph" w:styleId="16">
    <w:name w:val="Balloon Text"/>
    <w:basedOn w:val="1"/>
    <w:link w:val="36"/>
    <w:autoRedefine/>
    <w:semiHidden/>
    <w:unhideWhenUsed/>
    <w:qFormat/>
    <w:uiPriority w:val="99"/>
    <w:pPr>
      <w:spacing w:line="240" w:lineRule="auto"/>
    </w:pPr>
    <w:rPr>
      <w:sz w:val="18"/>
      <w:szCs w:val="18"/>
    </w:rPr>
  </w:style>
  <w:style w:type="paragraph" w:styleId="17">
    <w:name w:val="footer"/>
    <w:basedOn w:val="1"/>
    <w:link w:val="37"/>
    <w:autoRedefine/>
    <w:unhideWhenUsed/>
    <w:qFormat/>
    <w:uiPriority w:val="99"/>
    <w:pPr>
      <w:tabs>
        <w:tab w:val="center" w:pos="4153"/>
        <w:tab w:val="right" w:pos="8306"/>
      </w:tabs>
      <w:snapToGrid w:val="0"/>
      <w:spacing w:line="240" w:lineRule="auto"/>
    </w:pPr>
    <w:rPr>
      <w:sz w:val="18"/>
      <w:szCs w:val="18"/>
    </w:rPr>
  </w:style>
  <w:style w:type="paragraph" w:styleId="18">
    <w:name w:val="header"/>
    <w:basedOn w:val="1"/>
    <w:link w:val="38"/>
    <w:autoRedefine/>
    <w:unhideWhenUsed/>
    <w:qFormat/>
    <w:uiPriority w:val="99"/>
    <w:pPr>
      <w:tabs>
        <w:tab w:val="center" w:pos="4153"/>
        <w:tab w:val="right" w:pos="8306"/>
      </w:tabs>
      <w:snapToGrid w:val="0"/>
      <w:spacing w:line="240" w:lineRule="auto"/>
      <w:jc w:val="center"/>
    </w:pPr>
    <w:rPr>
      <w:sz w:val="18"/>
      <w:szCs w:val="18"/>
    </w:rPr>
  </w:style>
  <w:style w:type="paragraph" w:styleId="19">
    <w:name w:val="toc 1"/>
    <w:basedOn w:val="1"/>
    <w:next w:val="1"/>
    <w:autoRedefine/>
    <w:unhideWhenUsed/>
    <w:qFormat/>
    <w:uiPriority w:val="39"/>
    <w:pPr>
      <w:ind w:firstLine="0" w:firstLineChars="0"/>
    </w:pPr>
    <w:rPr>
      <w:b/>
    </w:rPr>
  </w:style>
  <w:style w:type="paragraph" w:styleId="20">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szCs w:val="22"/>
      <w14:ligatures w14:val="none"/>
    </w:rPr>
  </w:style>
  <w:style w:type="paragraph" w:styleId="21">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szCs w:val="22"/>
      <w14:ligatures w14:val="none"/>
    </w:rPr>
  </w:style>
  <w:style w:type="paragraph" w:styleId="22">
    <w:name w:val="toc 2"/>
    <w:basedOn w:val="1"/>
    <w:next w:val="1"/>
    <w:autoRedefine/>
    <w:unhideWhenUsed/>
    <w:qFormat/>
    <w:uiPriority w:val="39"/>
    <w:pPr>
      <w:ind w:left="200" w:leftChars="200" w:firstLine="0" w:firstLineChars="0"/>
    </w:pPr>
  </w:style>
  <w:style w:type="paragraph" w:styleId="23">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szCs w:val="22"/>
      <w14:ligatures w14:val="none"/>
    </w:rPr>
  </w:style>
  <w:style w:type="paragraph" w:styleId="24">
    <w:name w:val="Normal (Web)"/>
    <w:basedOn w:val="1"/>
    <w:autoRedefine/>
    <w:unhideWhenUsed/>
    <w:qFormat/>
    <w:uiPriority w:val="0"/>
    <w:rPr>
      <w:sz w:val="24"/>
    </w:rPr>
  </w:style>
  <w:style w:type="paragraph" w:styleId="25">
    <w:name w:val="annotation subject"/>
    <w:basedOn w:val="12"/>
    <w:next w:val="12"/>
    <w:link w:val="53"/>
    <w:autoRedefine/>
    <w:semiHidden/>
    <w:unhideWhenUsed/>
    <w:qFormat/>
    <w:uiPriority w:val="99"/>
    <w:rPr>
      <w:b/>
      <w:bCs/>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22"/>
    <w:rPr>
      <w:b/>
    </w:rPr>
  </w:style>
  <w:style w:type="character" w:styleId="30">
    <w:name w:val="Hyperlink"/>
    <w:basedOn w:val="28"/>
    <w:autoRedefine/>
    <w:unhideWhenUsed/>
    <w:qFormat/>
    <w:uiPriority w:val="99"/>
    <w:rPr>
      <w:color w:val="0563C1" w:themeColor="hyperlink"/>
      <w:u w:val="single"/>
      <w14:textFill>
        <w14:solidFill>
          <w14:schemeClr w14:val="hlink"/>
        </w14:solidFill>
      </w14:textFill>
    </w:rPr>
  </w:style>
  <w:style w:type="character" w:styleId="31">
    <w:name w:val="annotation reference"/>
    <w:basedOn w:val="28"/>
    <w:autoRedefine/>
    <w:semiHidden/>
    <w:unhideWhenUsed/>
    <w:qFormat/>
    <w:uiPriority w:val="99"/>
    <w:rPr>
      <w:sz w:val="21"/>
      <w:szCs w:val="21"/>
    </w:rPr>
  </w:style>
  <w:style w:type="character" w:customStyle="1" w:styleId="32">
    <w:name w:val="标题 1 Char"/>
    <w:basedOn w:val="28"/>
    <w:link w:val="7"/>
    <w:autoRedefine/>
    <w:qFormat/>
    <w:uiPriority w:val="9"/>
    <w:rPr>
      <w:rFonts w:ascii="Times New Roman" w:hAnsi="Times New Roman" w:eastAsia="仿宋_GB2312"/>
      <w:b/>
      <w:bCs/>
      <w:kern w:val="44"/>
      <w:sz w:val="44"/>
      <w:szCs w:val="44"/>
      <w14:ligatures w14:val="standardContextual"/>
    </w:rPr>
  </w:style>
  <w:style w:type="character" w:customStyle="1" w:styleId="33">
    <w:name w:val="标题 2 Char"/>
    <w:basedOn w:val="28"/>
    <w:link w:val="8"/>
    <w:autoRedefine/>
    <w:qFormat/>
    <w:uiPriority w:val="9"/>
    <w:rPr>
      <w:rFonts w:asciiTheme="majorHAnsi" w:hAnsiTheme="majorHAnsi" w:eastAsiaTheme="majorEastAsia" w:cstheme="majorBidi"/>
      <w:b/>
      <w:bCs/>
      <w:sz w:val="32"/>
      <w:szCs w:val="32"/>
    </w:rPr>
  </w:style>
  <w:style w:type="character" w:customStyle="1" w:styleId="34">
    <w:name w:val="标题 3 Char"/>
    <w:basedOn w:val="28"/>
    <w:link w:val="9"/>
    <w:autoRedefine/>
    <w:semiHidden/>
    <w:qFormat/>
    <w:uiPriority w:val="9"/>
    <w:rPr>
      <w:b/>
      <w:bCs/>
      <w:sz w:val="32"/>
      <w:szCs w:val="32"/>
    </w:rPr>
  </w:style>
  <w:style w:type="character" w:customStyle="1" w:styleId="35">
    <w:name w:val="标题 4 Char"/>
    <w:basedOn w:val="28"/>
    <w:link w:val="10"/>
    <w:autoRedefine/>
    <w:semiHidden/>
    <w:qFormat/>
    <w:uiPriority w:val="9"/>
    <w:rPr>
      <w:rFonts w:asciiTheme="majorHAnsi" w:hAnsiTheme="majorHAnsi" w:eastAsiaTheme="majorEastAsia" w:cstheme="majorBidi"/>
      <w:b/>
      <w:bCs/>
      <w:sz w:val="28"/>
      <w:szCs w:val="28"/>
      <w14:ligatures w14:val="standardContextual"/>
    </w:rPr>
  </w:style>
  <w:style w:type="character" w:customStyle="1" w:styleId="36">
    <w:name w:val="批注框文本 Char"/>
    <w:basedOn w:val="28"/>
    <w:link w:val="16"/>
    <w:autoRedefine/>
    <w:semiHidden/>
    <w:qFormat/>
    <w:uiPriority w:val="99"/>
    <w:rPr>
      <w:rFonts w:ascii="Times New Roman" w:hAnsi="Times New Roman" w:eastAsia="仿宋_GB2312"/>
      <w:sz w:val="18"/>
      <w:szCs w:val="18"/>
      <w14:ligatures w14:val="standardContextual"/>
    </w:rPr>
  </w:style>
  <w:style w:type="character" w:customStyle="1" w:styleId="37">
    <w:name w:val="页脚 Char"/>
    <w:basedOn w:val="28"/>
    <w:link w:val="17"/>
    <w:qFormat/>
    <w:uiPriority w:val="99"/>
    <w:rPr>
      <w:rFonts w:ascii="Times New Roman" w:hAnsi="Times New Roman" w:eastAsia="仿宋_GB2312"/>
      <w:sz w:val="18"/>
      <w:szCs w:val="18"/>
      <w14:ligatures w14:val="standardContextual"/>
    </w:rPr>
  </w:style>
  <w:style w:type="character" w:customStyle="1" w:styleId="38">
    <w:name w:val="页眉 Char"/>
    <w:basedOn w:val="28"/>
    <w:link w:val="18"/>
    <w:qFormat/>
    <w:uiPriority w:val="99"/>
    <w:rPr>
      <w:rFonts w:ascii="Times New Roman" w:hAnsi="Times New Roman" w:eastAsia="仿宋_GB2312"/>
      <w:sz w:val="18"/>
      <w:szCs w:val="18"/>
      <w14:ligatures w14:val="standardContextual"/>
    </w:rPr>
  </w:style>
  <w:style w:type="paragraph" w:customStyle="1" w:styleId="39">
    <w:name w:val="表题目"/>
    <w:basedOn w:val="1"/>
    <w:link w:val="40"/>
    <w:autoRedefine/>
    <w:qFormat/>
    <w:uiPriority w:val="0"/>
    <w:pPr>
      <w:overflowPunct w:val="0"/>
      <w:topLinePunct/>
      <w:ind w:firstLine="0" w:firstLineChars="0"/>
      <w:jc w:val="center"/>
    </w:pPr>
    <w:rPr>
      <w:rFonts w:cs="Times New Roman"/>
      <w:kern w:val="0"/>
      <w:sz w:val="30"/>
      <w:szCs w:val="30"/>
    </w:rPr>
  </w:style>
  <w:style w:type="character" w:customStyle="1" w:styleId="40">
    <w:name w:val="表题目 Char"/>
    <w:basedOn w:val="28"/>
    <w:link w:val="39"/>
    <w:qFormat/>
    <w:uiPriority w:val="0"/>
    <w:rPr>
      <w:rFonts w:ascii="Times New Roman" w:hAnsi="Times New Roman" w:eastAsia="仿宋_GB2312" w:cs="Times New Roman"/>
      <w:kern w:val="0"/>
      <w:sz w:val="30"/>
      <w:szCs w:val="30"/>
      <w14:ligatures w14:val="standardContextual"/>
    </w:rPr>
  </w:style>
  <w:style w:type="paragraph" w:customStyle="1" w:styleId="41">
    <w:name w:val="表正文"/>
    <w:basedOn w:val="39"/>
    <w:link w:val="42"/>
    <w:autoRedefine/>
    <w:qFormat/>
    <w:uiPriority w:val="0"/>
    <w:pPr>
      <w:jc w:val="both"/>
    </w:pPr>
    <w:rPr>
      <w:rFonts w:hAnsi="仿宋_GB2312"/>
    </w:rPr>
  </w:style>
  <w:style w:type="character" w:customStyle="1" w:styleId="42">
    <w:name w:val="表正文 Char"/>
    <w:basedOn w:val="40"/>
    <w:link w:val="41"/>
    <w:qFormat/>
    <w:uiPriority w:val="0"/>
    <w:rPr>
      <w:rFonts w:ascii="仿宋_GB2312" w:hAnsi="仿宋_GB2312" w:eastAsia="仿宋_GB2312" w:cs="Times New Roman"/>
      <w:kern w:val="0"/>
      <w:sz w:val="30"/>
      <w:szCs w:val="30"/>
      <w14:ligatures w14:val="standardContextual"/>
    </w:rPr>
  </w:style>
  <w:style w:type="paragraph" w:customStyle="1" w:styleId="43">
    <w:name w:val="十五五节"/>
    <w:basedOn w:val="9"/>
    <w:link w:val="44"/>
    <w:autoRedefine/>
    <w:qFormat/>
    <w:uiPriority w:val="0"/>
    <w:pPr>
      <w:spacing w:line="415" w:lineRule="auto"/>
      <w:ind w:firstLine="0" w:firstLineChars="0"/>
      <w:jc w:val="center"/>
    </w:pPr>
    <w:rPr>
      <w:rFonts w:eastAsia="楷体_GB2312"/>
      <w:b w:val="0"/>
    </w:rPr>
  </w:style>
  <w:style w:type="character" w:customStyle="1" w:styleId="44">
    <w:name w:val="十五五节 Char"/>
    <w:basedOn w:val="28"/>
    <w:link w:val="43"/>
    <w:qFormat/>
    <w:uiPriority w:val="0"/>
    <w:rPr>
      <w:rFonts w:ascii="Times New Roman" w:hAnsi="Times New Roman" w:eastAsia="楷体_GB2312"/>
      <w:bCs/>
      <w:sz w:val="32"/>
      <w:szCs w:val="24"/>
      <w14:ligatures w14:val="standardContextual"/>
    </w:rPr>
  </w:style>
  <w:style w:type="paragraph" w:customStyle="1" w:styleId="45">
    <w:name w:val="十五五章"/>
    <w:basedOn w:val="8"/>
    <w:link w:val="46"/>
    <w:autoRedefine/>
    <w:qFormat/>
    <w:uiPriority w:val="0"/>
    <w:pPr>
      <w:keepNext w:val="0"/>
      <w:keepLines w:val="0"/>
      <w:spacing w:before="0" w:after="0" w:line="240" w:lineRule="auto"/>
      <w:ind w:firstLine="0" w:firstLineChars="0"/>
      <w:jc w:val="center"/>
    </w:pPr>
    <w:rPr>
      <w:rFonts w:eastAsia="楷体_GB2312"/>
      <w:b w:val="0"/>
    </w:rPr>
  </w:style>
  <w:style w:type="character" w:customStyle="1" w:styleId="46">
    <w:name w:val="十五五章 Char"/>
    <w:basedOn w:val="28"/>
    <w:link w:val="45"/>
    <w:qFormat/>
    <w:uiPriority w:val="0"/>
    <w:rPr>
      <w:rFonts w:eastAsia="楷体_GB2312" w:asciiTheme="majorHAnsi" w:hAnsiTheme="majorHAnsi" w:cstheme="majorBidi"/>
      <w:bCs/>
      <w:kern w:val="2"/>
      <w:sz w:val="32"/>
      <w:szCs w:val="24"/>
      <w14:ligatures w14:val="standardContextual"/>
    </w:rPr>
  </w:style>
  <w:style w:type="paragraph" w:customStyle="1" w:styleId="47">
    <w:name w:val="十五五篇"/>
    <w:basedOn w:val="45"/>
    <w:link w:val="48"/>
    <w:autoRedefine/>
    <w:qFormat/>
    <w:uiPriority w:val="0"/>
    <w:pPr>
      <w:keepNext/>
      <w:keepLines/>
      <w:spacing w:line="400" w:lineRule="exact"/>
      <w:outlineLvl w:val="0"/>
    </w:pPr>
    <w:rPr>
      <w:rFonts w:ascii="Times New Roman" w:hAnsi="Times New Roman" w:eastAsia="黑体" w:cs="Times New Roman"/>
      <w:bCs w:val="0"/>
      <w:kern w:val="44"/>
      <w:szCs w:val="44"/>
    </w:rPr>
  </w:style>
  <w:style w:type="character" w:customStyle="1" w:styleId="48">
    <w:name w:val="十五五篇 Char"/>
    <w:basedOn w:val="28"/>
    <w:link w:val="47"/>
    <w:qFormat/>
    <w:uiPriority w:val="0"/>
    <w:rPr>
      <w:rFonts w:eastAsia="黑体"/>
      <w:kern w:val="44"/>
      <w:sz w:val="32"/>
      <w:szCs w:val="44"/>
      <w14:ligatures w14:val="standardContextual"/>
    </w:rPr>
  </w:style>
  <w:style w:type="table" w:customStyle="1" w:styleId="49">
    <w:name w:val="网格型1"/>
    <w:basedOn w:val="26"/>
    <w:qFormat/>
    <w:uiPriority w:val="39"/>
    <w:rPr>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网格型1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正文"/>
    <w:basedOn w:val="1"/>
    <w:qFormat/>
    <w:uiPriority w:val="0"/>
    <w:rPr>
      <w:rFonts w:eastAsia="仿宋" w:cs="Times New Roman"/>
      <w:sz w:val="28"/>
      <w:szCs w:val="32"/>
    </w:rPr>
  </w:style>
  <w:style w:type="character" w:customStyle="1" w:styleId="52">
    <w:name w:val="批注文字 Char"/>
    <w:basedOn w:val="28"/>
    <w:link w:val="12"/>
    <w:semiHidden/>
    <w:qFormat/>
    <w:uiPriority w:val="99"/>
    <w:rPr>
      <w:rFonts w:eastAsia="仿宋_GB2312" w:cstheme="minorBidi"/>
      <w:kern w:val="2"/>
      <w:sz w:val="32"/>
      <w:szCs w:val="24"/>
      <w14:ligatures w14:val="standardContextual"/>
    </w:rPr>
  </w:style>
  <w:style w:type="character" w:customStyle="1" w:styleId="53">
    <w:name w:val="批注主题 Char"/>
    <w:basedOn w:val="52"/>
    <w:link w:val="25"/>
    <w:semiHidden/>
    <w:qFormat/>
    <w:uiPriority w:val="99"/>
    <w:rPr>
      <w:rFonts w:eastAsia="仿宋_GB2312" w:cstheme="minorBidi"/>
      <w:b/>
      <w:bCs/>
      <w:kern w:val="2"/>
      <w:sz w:val="3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fae71b37-8bc9-4733-acb8-7d7f5a032ab1</errorID>
      <errorWord xmlns="http://schemas.wps.cn/vas-ai-hub/contract-review">第十五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第十四</item>
      </candidateList>
      <explain xmlns="http://schemas.wps.cn/vas-ai-hub/contract-review"/>
      <paraID xmlns="http://schemas.wps.cn/vas-ai-hub/contract-review">35DAE1E5</paraID>
      <start xmlns="http://schemas.wps.cn/vas-ai-hub/contract-review">0</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53e66d8e-c1bf-4cdf-a000-9855200a8a9e</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等称号。</item>
      </candidateList>
      <explain xmlns="http://schemas.wps.cn/vas-ai-hub/contract-review"/>
      <paraID xmlns="http://schemas.wps.cn/vas-ai-hub/contract-review">3B9F2759</paraID>
      <start xmlns="http://schemas.wps.cn/vas-ai-hub/contract-review">160</start>
      <end xmlns="http://schemas.wps.cn/vas-ai-hub/contract-review">164</end>
      <status xmlns="http://schemas.wps.cn/vas-ai-hub/contract-review">modified</status>
      <modifiedWord xmlns="http://schemas.wps.cn/vas-ai-hub/contract-review">等称号。</modifiedWord>
      <trackRevisions xmlns="http://schemas.wps.cn/vas-ai-hub/contract-review">false</trackRevisions>
    </reviewItem>
    <reviewItem xmlns="http://schemas.wps.cn/vas-ai-hub/contract-review">
      <errorID xmlns="http://schemas.wps.cn/vas-ai-hub/contract-review">9cd1a06e-8289-441d-946c-65063ff2fb42</errorID>
      <errorWord xmlns="http://schemas.wps.cn/vas-ai-hub/contract-review">基本实现社会主义现代化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为基本实现社会主义现代化</item>
      </candidateList>
      <explain xmlns="http://schemas.wps.cn/vas-ai-hub/contract-review">此处内容疑似含有固定表述相关错误，建议核查。</explain>
      <paraID xmlns="http://schemas.wps.cn/vas-ai-hub/contract-review">49787CD7</paraID>
      <start xmlns="http://schemas.wps.cn/vas-ai-hub/contract-review">32</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8acba1d6-7577-4112-8898-db75c8406084</errorID>
      <errorWord xmlns="http://schemas.wps.cn/vas-ai-hub/contract-review">5.5-6%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5.5%—6%</item>
      </candidateList>
      <explain xmlns="http://schemas.wps.cn/vas-ai-hub/contract-review">1. “5.5-6%”中的单位“%”仅出现在后一个数字上，容易引起歧义；根据《现代汉语标点符号数字用法规范手册》，数字表示范围两边需要使用统一的格式。2.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465FD3E4</paraID>
      <start xmlns="http://schemas.wps.cn/vas-ai-hub/contract-review">138</start>
      <end xmlns="http://schemas.wps.cn/vas-ai-hub/contract-review">144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bdb40919-fe25-4075-b3c5-063d794868ed</errorID>
      <errorWord xmlns="http://schemas.wps.cn/vas-ai-hub/contract-review">达到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年均增长</item>
      </candidateList>
      <explain xmlns="http://schemas.wps.cn/vas-ai-hub/contract-review"/>
      <paraID xmlns="http://schemas.wps.cn/vas-ai-hub/contract-review">465FD3E4</paraID>
      <start xmlns="http://schemas.wps.cn/vas-ai-hub/contract-review">176</start>
      <end xmlns="http://schemas.wps.cn/vas-ai-hub/contract-review">178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d48a9ead-5a51-414b-b30b-45bfc8fefdab</errorID>
      <errorWord xmlns="http://schemas.wps.cn/vas-ai-hub/contract-review">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成以</item>
      </candidateList>
      <explain xmlns="http://schemas.wps.cn/vas-ai-hub/contract-review"/>
      <paraID xmlns="http://schemas.wps.cn/vas-ai-hub/contract-review">5223E56F</paraID>
      <start xmlns="http://schemas.wps.cn/vas-ai-hub/contract-review">160</start>
      <end xmlns="http://schemas.wps.cn/vas-ai-hub/contract-review">162</end>
      <status xmlns="http://schemas.wps.cn/vas-ai-hub/contract-review">modified</status>
      <modifiedWord xmlns="http://schemas.wps.cn/vas-ai-hub/contract-review">成以</modifiedWord>
      <trackRevisions xmlns="http://schemas.wps.cn/vas-ai-hub/contract-review">false</trackRevisions>
    </reviewItem>
    <reviewItem xmlns="http://schemas.wps.cn/vas-ai-hub/contract-review">
      <errorID xmlns="http://schemas.wps.cn/vas-ai-hub/contract-review">a64a740d-ebcc-43d2-8354-7c8f92674cb0</errorID>
      <errorWord xmlns="http://schemas.wps.cn/vas-ai-hub/contract-review">理念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观念</item>
      </candidateList>
      <explain xmlns="http://schemas.wps.cn/vas-ai-hub/contract-review"/>
      <paraID xmlns="http://schemas.wps.cn/vas-ai-hub/contract-review"> 7C213C2</paraID>
      <start xmlns="http://schemas.wps.cn/vas-ai-hub/contract-review">50</start>
      <end xmlns="http://schemas.wps.cn/vas-ai-hub/contract-review">52</end>
      <status xmlns="http://schemas.wps.cn/vas-ai-hub/contract-review">modified</status>
      <modifiedWord xmlns="http://schemas.wps.cn/vas-ai-hub/contract-review">观念</modifiedWord>
      <trackRevisions xmlns="http://schemas.wps.cn/vas-ai-hub/contract-review">false</trackRevisions>
    </reviewItem>
    <reviewItem xmlns="http://schemas.wps.cn/vas-ai-hub/contract-review">
      <errorID xmlns="http://schemas.wps.cn/vas-ai-hub/contract-review">809bbab4-bb0b-4e4a-97b8-2322cbb2a06a</errorID>
      <errorWord xmlns="http://schemas.wps.cn/vas-ai-hub/contract-review">健全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完善</item>
      </candidateList>
      <explain xmlns="http://schemas.wps.cn/vas-ai-hub/contract-review"/>
      <paraID xmlns="http://schemas.wps.cn/vas-ai-hub/contract-review">65B73824</paraID>
      <start xmlns="http://schemas.wps.cn/vas-ai-hub/contract-review">122</start>
      <end xmlns="http://schemas.wps.cn/vas-ai-hub/contract-review">124</end>
      <status xmlns="http://schemas.wps.cn/vas-ai-hub/contract-review">modified</status>
      <modifiedWord xmlns="http://schemas.wps.cn/vas-ai-hub/contract-review">完善</modifiedWord>
      <trackRevisions xmlns="http://schemas.wps.cn/vas-ai-hub/contract-review">false</trackRevisions>
    </reviewItem>
    <reviewItem xmlns="http://schemas.wps.cn/vas-ai-hub/contract-review">
      <errorID xmlns="http://schemas.wps.cn/vas-ai-hub/contract-review">09c536dd-e42e-4b35-9b15-f1f1cb8f581c</errorID>
      <errorWord xmlns="http://schemas.wps.cn/vas-ai-hub/contract-review">撕利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撕裂</item>
      </candidateList>
      <explain xmlns="http://schemas.wps.cn/vas-ai-hub/contract-review">存在发音相近字词的误用。</explain>
      <paraID xmlns="http://schemas.wps.cn/vas-ai-hub/contract-review">6AA97BCE</paraID>
      <start xmlns="http://schemas.wps.cn/vas-ai-hub/contract-review">6</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d80f747c-7a3c-4c82-ba49-0cc5d3be6b88</errorID>
      <errorWord xmlns="http://schemas.wps.cn/vas-ai-hub/contract-review">与代表性</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与</item>
      </candidateList>
      <explain xmlns="http://schemas.wps.cn/vas-ai-hub/contract-review"/>
      <paraID xmlns="http://schemas.wps.cn/vas-ai-hub/contract-review">2E4BEA7E</paraID>
      <start xmlns="http://schemas.wps.cn/vas-ai-hub/contract-review">25</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c2f6a077-3cb4-476f-b776-2e747803cf90</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围绕</item>
      </candidateList>
      <explain xmlns="http://schemas.wps.cn/vas-ai-hub/contract-review"/>
      <paraID xmlns="http://schemas.wps.cn/vas-ai-hub/contract-review">12C7FA3E</paraID>
      <start xmlns="http://schemas.wps.cn/vas-ai-hub/contract-review">32</start>
      <end xmlns="http://schemas.wps.cn/vas-ai-hub/contract-review">34</end>
      <status xmlns="http://schemas.wps.cn/vas-ai-hub/contract-review">modified</status>
      <modifiedWord xmlns="http://schemas.wps.cn/vas-ai-hub/contract-review">围绕</modifiedWord>
      <trackRevisions xmlns="http://schemas.wps.cn/vas-ai-hub/contract-review">false</trackRevisions>
    </reviewItem>
    <reviewItem xmlns="http://schemas.wps.cn/vas-ai-hub/contract-review">
      <errorID xmlns="http://schemas.wps.cn/vas-ai-hub/contract-review">94253952-aee2-4c80-8959-799ace755598</errorID>
      <errorWord xmlns="http://schemas.wps.cn/vas-ai-hub/contract-review">创新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的创新</item>
      </candidateList>
      <explain xmlns="http://schemas.wps.cn/vas-ai-hub/contract-review"/>
      <paraID xmlns="http://schemas.wps.cn/vas-ai-hub/contract-review">6F9B381A</paraID>
      <start xmlns="http://schemas.wps.cn/vas-ai-hub/contract-review">11</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57b54001-39d0-46e9-922d-998c7060342f</errorID>
      <errorWord xmlns="http://schemas.wps.cn/vas-ai-hub/contract-review">商圈</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商圈。</item>
      </candidateList>
      <explain xmlns="http://schemas.wps.cn/vas-ai-hub/contract-review"/>
      <paraID xmlns="http://schemas.wps.cn/vas-ai-hub/contract-review">717CEC0A</paraID>
      <start xmlns="http://schemas.wps.cn/vas-ai-hub/contract-review">86</start>
      <end xmlns="http://schemas.wps.cn/vas-ai-hub/contract-review">89</end>
      <status xmlns="http://schemas.wps.cn/vas-ai-hub/contract-review">modified</status>
      <modifiedWord xmlns="http://schemas.wps.cn/vas-ai-hub/contract-review">商圈。</modifiedWord>
      <trackRevisions xmlns="http://schemas.wps.cn/vas-ai-hub/contract-review">false</trackRevisions>
    </reviewItem>
    <reviewItem xmlns="http://schemas.wps.cn/vas-ai-hub/contract-review">
      <errorID xmlns="http://schemas.wps.cn/vas-ai-hub/contract-review">0d407c9b-7637-42f8-a61c-3919b694fee7</errorID>
      <errorWord xmlns="http://schemas.wps.cn/vas-ai-hub/contract-review">2-3个</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2～3个</item>
      </candidateList>
      <explain xmlns="http://schemas.wps.cn/vas-ai-hub/contract-review"/>
      <paraID xmlns="http://schemas.wps.cn/vas-ai-hub/contract-review">717CEC0A</paraID>
      <start xmlns="http://schemas.wps.cn/vas-ai-hub/contract-review">91</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b12dc61a-282a-49ec-99a4-98e714c5d520</errorID>
      <errorWord xmlns="http://schemas.wps.cn/vas-ai-hub/contract-review">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等一</item>
      </candidateList>
      <explain xmlns="http://schemas.wps.cn/vas-ai-hub/contract-review"/>
      <paraID xmlns="http://schemas.wps.cn/vas-ai-hub/contract-review">3358A43C</paraID>
      <start xmlns="http://schemas.wps.cn/vas-ai-hub/contract-review">90</start>
      <end xmlns="http://schemas.wps.cn/vas-ai-hub/contract-review">92</end>
      <status xmlns="http://schemas.wps.cn/vas-ai-hub/contract-review">modified</status>
      <modifiedWord xmlns="http://schemas.wps.cn/vas-ai-hub/contract-review">等一</modifiedWord>
      <trackRevisions xmlns="http://schemas.wps.cn/vas-ai-hub/contract-review">false</trackRevisions>
    </reviewItem>
    <reviewItem xmlns="http://schemas.wps.cn/vas-ai-hub/contract-review">
      <errorID xmlns="http://schemas.wps.cn/vas-ai-hub/contract-review">7e1ee4f9-189a-4f35-8616-92a5066a5458</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3358A43C</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88fda374-059b-419c-ab30-b81911951684</errorID>
      <errorWord xmlns="http://schemas.wps.cn/vas-ai-hub/contract-review">、非遗花火会、</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“非遗花火会”“</item>
      </candidateList>
      <explain xmlns="http://schemas.wps.cn/vas-ai-hub/contract-review"/>
      <paraID xmlns="http://schemas.wps.cn/vas-ai-hub/contract-review">3358A43C</paraID>
      <start xmlns="http://schemas.wps.cn/vas-ai-hub/contract-review">148</start>
      <end xmlns="http://schemas.wps.cn/vas-ai-hub/contract-review">156</end>
      <status xmlns="http://schemas.wps.cn/vas-ai-hub/contract-review">modified</status>
      <modifiedWord xmlns="http://schemas.wps.cn/vas-ai-hub/contract-review">“非遗花火会”“</modifiedWord>
      <trackRevisions xmlns="http://schemas.wps.cn/vas-ai-hub/contract-review">false</trackRevisions>
    </reviewItem>
    <reviewItem xmlns="http://schemas.wps.cn/vas-ai-hub/contract-review">
      <errorID xmlns="http://schemas.wps.cn/vas-ai-hub/contract-review">b06d6f38-6f15-4fe0-8cc2-fb3d4ba8f296</errorID>
      <errorWord xmlns="http://schemas.wps.cn/vas-ai-hub/contract-review">等</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”等</item>
      </candidateList>
      <explain xmlns="http://schemas.wps.cn/vas-ai-hub/contract-review"/>
      <paraID xmlns="http://schemas.wps.cn/vas-ai-hub/contract-review">3358A43C</paraID>
      <start xmlns="http://schemas.wps.cn/vas-ai-hub/contract-review">161</start>
      <end xmlns="http://schemas.wps.cn/vas-ai-hub/contract-review">163</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b3d917e6-0d28-4ea4-b050-fbd093d4cb1d</errorID>
      <errorWord xmlns="http://schemas.wps.cn/vas-ai-hub/contract-review">体验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消费体验</item>
      </candidateList>
      <explain xmlns="http://schemas.wps.cn/vas-ai-hub/contract-review"/>
      <paraID xmlns="http://schemas.wps.cn/vas-ai-hub/contract-review">3358A43C</paraID>
      <start xmlns="http://schemas.wps.cn/vas-ai-hub/contract-review">291</start>
      <end xmlns="http://schemas.wps.cn/vas-ai-hub/contract-review">295</end>
      <status xmlns="http://schemas.wps.cn/vas-ai-hub/contract-review">modified</status>
      <modifiedWord xmlns="http://schemas.wps.cn/vas-ai-hub/contract-review">消费体验</modifiedWord>
      <trackRevisions xmlns="http://schemas.wps.cn/vas-ai-hub/contract-review">false</trackRevisions>
    </reviewItem>
    <reviewItem xmlns="http://schemas.wps.cn/vas-ai-hub/contract-review">
      <errorID xmlns="http://schemas.wps.cn/vas-ai-hub/contract-review">14267855-331c-4675-a4d7-ab558ed06d47</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3358A43C</paraID>
      <start xmlns="http://schemas.wps.cn/vas-ai-hub/contract-review">304</start>
      <end xmlns="http://schemas.wps.cn/vas-ai-hub/contract-review">305</end>
      <status xmlns="http://schemas.wps.cn/vas-ai-hub/contract-review">modified</status>
      <modifiedWord xmlns="http://schemas.wps.cn/vas-ai-hub/contract-review">和</modifiedWord>
      <trackRevisions xmlns="http://schemas.wps.cn/vas-ai-hub/contract-review">false</trackRevisions>
    </reviewItem>
    <reviewItem xmlns="http://schemas.wps.cn/vas-ai-hub/contract-review">
      <errorID xmlns="http://schemas.wps.cn/vas-ai-hub/contract-review">ef196c43-08bc-43ae-ac26-1c3d97393260</errorID>
      <errorWord xmlns="http://schemas.wps.cn/vas-ai-hub/contract-review">技术创新应用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技术创新</item>
      </candidateList>
      <explain xmlns="http://schemas.wps.cn/vas-ai-hub/contract-review"/>
      <paraID xmlns="http://schemas.wps.cn/vas-ai-hub/contract-review">1CB3B73B</paraID>
      <start xmlns="http://schemas.wps.cn/vas-ai-hub/contract-review">31</start>
      <end xmlns="http://schemas.wps.cn/vas-ai-hub/contract-review">35</end>
      <status xmlns="http://schemas.wps.cn/vas-ai-hub/contract-review">modified</status>
      <modifiedWord xmlns="http://schemas.wps.cn/vas-ai-hub/contract-review">技术创新</modifiedWord>
      <trackRevisions xmlns="http://schemas.wps.cn/vas-ai-hub/contract-review">false</trackRevisions>
    </reviewItem>
    <reviewItem xmlns="http://schemas.wps.cn/vas-ai-hub/contract-review">
      <errorID xmlns="http://schemas.wps.cn/vas-ai-hub/contract-review">f9d690ab-6afd-482e-adee-7b3054951e09</errorID>
      <errorWord xmlns="http://schemas.wps.cn/vas-ai-hub/contract-review">住房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对住房</item>
      </candidateList>
      <explain xmlns="http://schemas.wps.cn/vas-ai-hub/contract-review"/>
      <paraID xmlns="http://schemas.wps.cn/vas-ai-hub/contract-review">1CB3B73B</paraID>
      <start xmlns="http://schemas.wps.cn/vas-ai-hub/contract-review">144</start>
      <end xmlns="http://schemas.wps.cn/vas-ai-hub/contract-review">147</end>
      <status xmlns="http://schemas.wps.cn/vas-ai-hub/contract-review">modified</status>
      <modifiedWord xmlns="http://schemas.wps.cn/vas-ai-hub/contract-review">对住房</modifiedWord>
      <trackRevisions xmlns="http://schemas.wps.cn/vas-ai-hub/contract-review">false</trackRevisions>
    </reviewItem>
    <reviewItem xmlns="http://schemas.wps.cn/vas-ai-hub/contract-review">
      <errorID xmlns="http://schemas.wps.cn/vas-ai-hub/contract-review">6e400772-b3c5-416e-a843-d37c91635426</errorID>
      <errorWord xmlns="http://schemas.wps.cn/vas-ai-hub/contract-review">支持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的支持</item>
      </candidateList>
      <explain xmlns="http://schemas.wps.cn/vas-ai-hub/contract-review"/>
      <paraID xmlns="http://schemas.wps.cn/vas-ai-hub/contract-review">1CB3B73B</paraID>
      <start xmlns="http://schemas.wps.cn/vas-ai-hub/contract-review">160</start>
      <end xmlns="http://schemas.wps.cn/vas-ai-hub/contract-review">163</end>
      <status xmlns="http://schemas.wps.cn/vas-ai-hub/contract-review">modified</status>
      <modifiedWord xmlns="http://schemas.wps.cn/vas-ai-hub/contract-review">的支持</modifiedWord>
      <trackRevisions xmlns="http://schemas.wps.cn/vas-ai-hub/contract-review">false</trackRevisions>
    </reviewItem>
    <reviewItem xmlns="http://schemas.wps.cn/vas-ai-hub/contract-review">
      <errorID xmlns="http://schemas.wps.cn/vas-ai-hub/contract-review">e5ffff87-7eca-49c3-bed0-25503bd1576e</errorID>
      <errorWord xmlns="http://schemas.wps.cn/vas-ai-hub/contract-review">壮大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扩大</item>
      </candidateList>
      <explain xmlns="http://schemas.wps.cn/vas-ai-hub/contract-review"/>
      <paraID xmlns="http://schemas.wps.cn/vas-ai-hub/contract-review">1CB3B73B</paraID>
      <start xmlns="http://schemas.wps.cn/vas-ai-hub/contract-review">213</start>
      <end xmlns="http://schemas.wps.cn/vas-ai-hub/contract-review">215</end>
      <status xmlns="http://schemas.wps.cn/vas-ai-hub/contract-review">modified</status>
      <modifiedWord xmlns="http://schemas.wps.cn/vas-ai-hub/contract-review">扩大</modifiedWord>
      <trackRevisions xmlns="http://schemas.wps.cn/vas-ai-hub/contract-review">false</trackRevisions>
    </reviewItem>
    <reviewItem xmlns="http://schemas.wps.cn/vas-ai-hub/contract-review">
      <errorID xmlns="http://schemas.wps.cn/vas-ai-hub/contract-review">b20467fc-d1cc-40a6-899c-f9f3705ca93f</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政策，</item>
      </candidateList>
      <explain xmlns="http://schemas.wps.cn/vas-ai-hub/contract-review"/>
      <paraID xmlns="http://schemas.wps.cn/vas-ai-hub/contract-review">1CB3B73B</paraID>
      <start xmlns="http://schemas.wps.cn/vas-ai-hub/contract-review">245</start>
      <end xmlns="http://schemas.wps.cn/vas-ai-hub/contract-review">246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5cd6bdc1-a8bf-4e66-aab2-3891f6b13e7a</errorID>
      <errorWord xmlns="http://schemas.wps.cn/vas-ai-hub/contract-review">亿元以上</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亿元</item>
      </candidateList>
      <explain xmlns="http://schemas.wps.cn/vas-ai-hub/contract-review"/>
      <paraID xmlns="http://schemas.wps.cn/vas-ai-hub/contract-review">37FA6EF3</paraID>
      <start xmlns="http://schemas.wps.cn/vas-ai-hub/contract-review">96</start>
      <end xmlns="http://schemas.wps.cn/vas-ai-hub/contract-review">100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cf4b865f-4ae1-4cf3-97a3-40d28ae1fa0d</errorID>
      <errorWord xmlns="http://schemas.wps.cn/vas-ai-hub/contract-review">动态化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动态</item>
      </candidateList>
      <explain xmlns="http://schemas.wps.cn/vas-ai-hub/contract-review"/>
      <paraID xmlns="http://schemas.wps.cn/vas-ai-hub/contract-review">59700096</paraID>
      <start xmlns="http://schemas.wps.cn/vas-ai-hub/contract-review">96</start>
      <end xmlns="http://schemas.wps.cn/vas-ai-hub/contract-review">98</end>
      <status xmlns="http://schemas.wps.cn/vas-ai-hub/contract-review">modified</status>
      <modifiedWord xmlns="http://schemas.wps.cn/vas-ai-hub/contract-review">动态</modifiedWord>
      <trackRevisions xmlns="http://schemas.wps.cn/vas-ai-hub/contract-review">false</trackRevisions>
    </reviewItem>
    <reviewItem xmlns="http://schemas.wps.cn/vas-ai-hub/contract-review">
      <errorID xmlns="http://schemas.wps.cn/vas-ai-hub/contract-review">eebd7e9d-2591-4b9f-b0b2-1e1f935d06cd</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59700096</paraID>
      <start xmlns="http://schemas.wps.cn/vas-ai-hub/contract-review">145</start>
      <end xmlns="http://schemas.wps.cn/vas-ai-hub/contract-review">146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e60595e1-8e30-4d1b-9d7b-c9f7258f56b3</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力度，</item>
      </candidateList>
      <explain xmlns="http://schemas.wps.cn/vas-ai-hub/contract-review"/>
      <paraID xmlns="http://schemas.wps.cn/vas-ai-hub/contract-review">1BEAA31C</paraID>
      <start xmlns="http://schemas.wps.cn/vas-ai-hub/contract-review">220</start>
      <end xmlns="http://schemas.wps.cn/vas-ai-hub/contract-review">223</end>
      <status xmlns="http://schemas.wps.cn/vas-ai-hub/contract-review">modified</status>
      <modifiedWord xmlns="http://schemas.wps.cn/vas-ai-hub/contract-review">力度，</modifiedWord>
      <trackRevisions xmlns="http://schemas.wps.cn/vas-ai-hub/contract-review">false</trackRevisions>
    </reviewItem>
    <reviewItem xmlns="http://schemas.wps.cn/vas-ai-hub/contract-review">
      <errorID xmlns="http://schemas.wps.cn/vas-ai-hub/contract-review">a7c59176-5daf-4696-b4c0-d49aef0143ef</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1BEAA31C</paraID>
      <start xmlns="http://schemas.wps.cn/vas-ai-hub/contract-review">270</start>
      <end xmlns="http://schemas.wps.cn/vas-ai-hub/contract-review">271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382b89d1-7c68-4fdd-b48c-1f79973256f4</errorID>
      <errorWord xmlns="http://schemas.wps.cn/vas-ai-hub/contract-review">新格局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的新格局</item>
      </candidateList>
      <explain xmlns="http://schemas.wps.cn/vas-ai-hub/contract-review"/>
      <paraID xmlns="http://schemas.wps.cn/vas-ai-hub/contract-review">792DD84C</paraID>
      <start xmlns="http://schemas.wps.cn/vas-ai-hub/contract-review">83</start>
      <end xmlns="http://schemas.wps.cn/vas-ai-hub/contract-review">87</end>
      <status xmlns="http://schemas.wps.cn/vas-ai-hub/contract-review">modified</status>
      <modifiedWord xmlns="http://schemas.wps.cn/vas-ai-hub/contract-review">的新格局</modifiedWord>
      <trackRevisions xmlns="http://schemas.wps.cn/vas-ai-hub/contract-review">false</trackRevisions>
    </reviewItem>
    <reviewItem xmlns="http://schemas.wps.cn/vas-ai-hub/contract-review">
      <errorID xmlns="http://schemas.wps.cn/vas-ai-hub/contract-review">21c2cf24-a42a-409a-a17c-868f517729c8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17632A82</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afd31fa0-b786-446c-8afa-9a6eb0a90493</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17632A82</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533fc0a5-d469-4149-94ec-c988eb9a0d90</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17632A82</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6a4c8689-9f3a-4e2e-b980-9e1fa2606e26</errorID>
      <errorWord xmlns="http://schemas.wps.cn/vas-ai-hub/contract-review">全国统一大市场建设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全国统一大市场</item>
      </candidateList>
      <explain xmlns="http://schemas.wps.cn/vas-ai-hub/contract-review">此处内容疑似含有固定表述相关错误，建议核查。</explain>
      <paraID xmlns="http://schemas.wps.cn/vas-ai-hub/contract-review">17632A82</paraID>
      <start xmlns="http://schemas.wps.cn/vas-ai-hub/contract-review">60</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72fff309-3db6-47c7-8b04-4c6104d8b5d0</errorID>
      <errorWord xmlns="http://schemas.wps.cn/vas-ai-hub/contract-review">规则、标准软联通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规则标准“软联通”</item>
      </candidateList>
      <explain xmlns="http://schemas.wps.cn/vas-ai-hub/contract-review">注意检查当前固定表述标点是否使用规范。</explain>
      <paraID xmlns="http://schemas.wps.cn/vas-ai-hub/contract-review">1EBA1320</paraID>
      <start xmlns="http://schemas.wps.cn/vas-ai-hub/contract-review">55</start>
      <end xmlns="http://schemas.wps.cn/vas-ai-hub/contract-review">64</end>
      <status xmlns="http://schemas.wps.cn/vas-ai-hub/contract-review">modified</status>
      <modifiedWord xmlns="http://schemas.wps.cn/vas-ai-hub/contract-review">规则标准“软联通”</modifiedWord>
      <trackRevisions xmlns="http://schemas.wps.cn/vas-ai-hub/contract-review">false</trackRevisions>
    </reviewItem>
    <reviewItem xmlns="http://schemas.wps.cn/vas-ai-hub/contract-review">
      <errorID xmlns="http://schemas.wps.cn/vas-ai-hub/contract-review">a3dcf3a9-022a-414d-b1a5-e007335978c3</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439EF776</paraID>
      <start xmlns="http://schemas.wps.cn/vas-ai-hub/contract-review">214</start>
      <end xmlns="http://schemas.wps.cn/vas-ai-hub/contract-review">215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02a9ff61-88d8-4bbc-9a65-69cad98e03a8</errorID>
      <errorWord xmlns="http://schemas.wps.cn/vas-ai-hub/contract-review">提升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水平</item>
      </candidateList>
      <explain xmlns="http://schemas.wps.cn/vas-ai-hub/contract-review"/>
      <paraID xmlns="http://schemas.wps.cn/vas-ai-hub/contract-review">34404FFF</paraID>
      <start xmlns="http://schemas.wps.cn/vas-ai-hub/contract-review">277</start>
      <end xmlns="http://schemas.wps.cn/vas-ai-hub/contract-review">279</end>
      <status xmlns="http://schemas.wps.cn/vas-ai-hub/contract-review">modified</status>
      <modifiedWord xmlns="http://schemas.wps.cn/vas-ai-hub/contract-review">水平</modifiedWord>
      <trackRevisions xmlns="http://schemas.wps.cn/vas-ai-hub/contract-review">false</trackRevisions>
    </reviewItem>
    <reviewItem xmlns="http://schemas.wps.cn/vas-ai-hub/contract-review">
      <errorID xmlns="http://schemas.wps.cn/vas-ai-hub/contract-review">2056ee15-1ccb-4b2b-a1e4-b189be58d41c</errorID>
      <errorWord xmlns="http://schemas.wps.cn/vas-ai-hub/contract-review">房地产平稳健康发展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房地产市场平稳健康发展</item>
      </candidateList>
      <explain xmlns="http://schemas.wps.cn/vas-ai-hub/contract-review">词汇“房地产市场平稳健康发展”在特定场景下为固定表述形式，请确认此处的“房地产平稳健康发展”是否存在不当。</explain>
      <paraID xmlns="http://schemas.wps.cn/vas-ai-hub/contract-review">75CA5BEC</paraID>
      <start xmlns="http://schemas.wps.cn/vas-ai-hub/contract-review">7</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492b962c-bd86-4b3d-86c1-e514fba8816c</errorID>
      <errorWord xmlns="http://schemas.wps.cn/vas-ai-hub/contract-review">安全、舒适、绿色、智慧的“好房子”</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安全舒适绿色智慧的“好房子”</item>
      </candidateList>
      <explain xmlns="http://schemas.wps.cn/vas-ai-hub/contract-review">注意检查当前固定表述标点是否使用规范。</explain>
      <paraID xmlns="http://schemas.wps.cn/vas-ai-hub/contract-review">1E3A0B72</paraID>
      <start xmlns="http://schemas.wps.cn/vas-ai-hub/contract-review">22</start>
      <end xmlns="http://schemas.wps.cn/vas-ai-hub/contract-review">36</end>
      <status xmlns="http://schemas.wps.cn/vas-ai-hub/contract-review">modified</status>
      <modifiedWord xmlns="http://schemas.wps.cn/vas-ai-hub/contract-review">安全舒适绿色智慧的“好房子”</modifiedWord>
      <trackRevisions xmlns="http://schemas.wps.cn/vas-ai-hub/contract-review">false</trackRevisions>
    </reviewItem>
    <reviewItem xmlns="http://schemas.wps.cn/vas-ai-hub/contract-review">
      <errorID xmlns="http://schemas.wps.cn/vas-ai-hub/contract-review">8336f359-98e0-4c0e-b4bd-b21ef7157e76</errorID>
      <errorWord xmlns="http://schemas.wps.cn/vas-ai-hub/contract-review">“六水”共治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“六水共治”</item>
      </candidateList>
      <explain xmlns="http://schemas.wps.cn/vas-ai-hub/contract-review">注意检查当前固定表述标点是否使用规范。</explain>
      <paraID xmlns="http://schemas.wps.cn/vas-ai-hub/contract-review">1F4F37BA</paraID>
      <start xmlns="http://schemas.wps.cn/vas-ai-hub/contract-review">25</start>
      <end xmlns="http://schemas.wps.cn/vas-ai-hub/contract-review">31</end>
      <status xmlns="http://schemas.wps.cn/vas-ai-hub/contract-review">modified</status>
      <modifiedWord xmlns="http://schemas.wps.cn/vas-ai-hub/contract-review">“六水共治”</modifiedWord>
      <trackRevisions xmlns="http://schemas.wps.cn/vas-ai-hub/contract-review">false</trackRevisions>
    </reviewItem>
    <reviewItem xmlns="http://schemas.wps.cn/vas-ai-hub/contract-review">
      <errorID xmlns="http://schemas.wps.cn/vas-ai-hub/contract-review">fa9438cc-9252-4dcf-80b3-2ff964e4d395</errorID>
      <errorWord xmlns="http://schemas.wps.cn/vas-ai-hub/contract-review">联通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连通</item>
      </candidateList>
      <explain xmlns="http://schemas.wps.cn/vas-ai-hub/contract-review">存在发音相同字词的误用。</explain>
      <paraID xmlns="http://schemas.wps.cn/vas-ai-hub/contract-review">75AA19B1</paraID>
      <start xmlns="http://schemas.wps.cn/vas-ai-hub/contract-review">4</start>
      <end xmlns="http://schemas.wps.cn/vas-ai-hub/contract-review">6</end>
      <status xmlns="http://schemas.wps.cn/vas-ai-hub/contract-review">modified</status>
      <modifiedWord xmlns="http://schemas.wps.cn/vas-ai-hub/contract-review">连通</modifiedWord>
      <trackRevisions xmlns="http://schemas.wps.cn/vas-ai-hub/contract-review">false</trackRevisions>
    </reviewItem>
    <reviewItem xmlns="http://schemas.wps.cn/vas-ai-hub/contract-review">
      <errorID xmlns="http://schemas.wps.cn/vas-ai-hub/contract-review">20459cab-61a9-499f-8bcf-d540ab27f513</errorID>
      <errorWord xmlns="http://schemas.wps.cn/vas-ai-hub/contract-review">巩固脱贫攻坚成果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巩固拓展脱贫攻坚成果</item>
      </candidateList>
      <explain xmlns="http://schemas.wps.cn/vas-ai-hub/contract-review"/>
      <paraID xmlns="http://schemas.wps.cn/vas-ai-hub/contract-review">1B4D8B9C</paraID>
      <start xmlns="http://schemas.wps.cn/vas-ai-hub/contract-review">5</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a3ea279a-c535-42a6-9af2-1ddee8d6d859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“党</item>
      </candidateList>
      <explain xmlns="http://schemas.wps.cn/vas-ai-hub/contract-review"/>
      <paraID xmlns="http://schemas.wps.cn/vas-ai-hub/contract-review">739C4046</paraID>
      <start xmlns="http://schemas.wps.cn/vas-ai-hub/contract-review">62</start>
      <end xmlns="http://schemas.wps.cn/vas-ai-hub/contract-review">64</end>
      <status xmlns="http://schemas.wps.cn/vas-ai-hub/contract-review">modified</status>
      <modifiedWord xmlns="http://schemas.wps.cn/vas-ai-hub/contract-review">“党</modifiedWord>
      <trackRevisions xmlns="http://schemas.wps.cn/vas-ai-hub/contract-review">false</trackRevisions>
    </reviewItem>
    <reviewItem xmlns="http://schemas.wps.cn/vas-ai-hub/contract-review">
      <errorID xmlns="http://schemas.wps.cn/vas-ai-hub/contract-review">75804ebe-eb1d-4ea3-80d2-6f239bc69d88</errorID>
      <errorWord xmlns="http://schemas.wps.cn/vas-ai-hub/contract-review">全民国防等教育</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全民国防教育</item>
      </candidateList>
      <explain xmlns="http://schemas.wps.cn/vas-ai-hub/contract-review">词汇“全民国防教育”在特定场景下为固定表述形式，请确认此处的“全民国防等教育”是否存在不当。</explain>
      <paraID xmlns="http://schemas.wps.cn/vas-ai-hub/contract-review">56A80DA6</paraID>
      <start xmlns="http://schemas.wps.cn/vas-ai-hub/contract-review">61</start>
      <end xmlns="http://schemas.wps.cn/vas-ai-hub/contract-review">67</end>
      <status xmlns="http://schemas.wps.cn/vas-ai-hub/contract-review">modified</status>
      <modifiedWord xmlns="http://schemas.wps.cn/vas-ai-hub/contract-review">全民国防教育</modifiedWord>
      <trackRevisions xmlns="http://schemas.wps.cn/vas-ai-hub/contract-review">false</trackRevisions>
    </reviewItem>
    <reviewItem xmlns="http://schemas.wps.cn/vas-ai-hub/contract-review">
      <errorID xmlns="http://schemas.wps.cn/vas-ai-hub/contract-review">c5219f69-4443-440d-968a-a2101590a42d</errorID>
      <errorWord xmlns="http://schemas.wps.cn/vas-ai-hub/contract-review">办好人民满意教育</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办好人民满意的教育</item>
      </candidateList>
      <explain xmlns="http://schemas.wps.cn/vas-ai-hub/contract-review">词汇“办好人民满意的教育”在特定场景下为固定表述形式，请确认此处的“办好人民满意教育”是否存在不当。</explain>
      <paraID xmlns="http://schemas.wps.cn/vas-ai-hub/contract-review">11606408</paraID>
      <start xmlns="http://schemas.wps.cn/vas-ai-hub/contract-review">5</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f1dc5c53-ff4d-4878-ae67-9c4e3d8a28c1</errorID>
      <errorWord xmlns="http://schemas.wps.cn/vas-ai-hub/contract-review">0-6岁</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0—6岁</item>
      </candidateList>
      <explain xmlns="http://schemas.wps.cn/vas-ai-hub/contract-review"/>
      <paraID xmlns="http://schemas.wps.cn/vas-ai-hub/contract-review">234CC6E6</paraID>
      <start xmlns="http://schemas.wps.cn/vas-ai-hub/contract-review">118</start>
      <end xmlns="http://schemas.wps.cn/vas-ai-hub/contract-review">122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133f960f-4c8b-4192-bd41-77283323eb47</errorID>
      <errorWord xmlns="http://schemas.wps.cn/vas-ai-hub/contract-review">医疗卫生强基工程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医疗卫生“强基工程”</item>
      </candidateList>
      <explain xmlns="http://schemas.wps.cn/vas-ai-hub/contract-review">注意检查当前固定表述标点是否使用规范。</explain>
      <paraID xmlns="http://schemas.wps.cn/vas-ai-hub/contract-review">6F6D937C</paraID>
      <start xmlns="http://schemas.wps.cn/vas-ai-hub/contract-review">2</start>
      <end xmlns="http://schemas.wps.cn/vas-ai-hub/contract-review">12</end>
      <status xmlns="http://schemas.wps.cn/vas-ai-hub/contract-review">modified</status>
      <modifiedWord xmlns="http://schemas.wps.cn/vas-ai-hub/contract-review">医疗卫生“强基工程”</modifiedWord>
      <trackRevisions xmlns="http://schemas.wps.cn/vas-ai-hub/contract-review">false</trackRevisions>
    </reviewItem>
    <reviewItem xmlns="http://schemas.wps.cn/vas-ai-hub/contract-review">
      <errorID xmlns="http://schemas.wps.cn/vas-ai-hub/contract-review">f9f1f2e5-2dc1-4324-95c3-f9c80efe8acc</errorID>
      <errorWord xmlns="http://schemas.wps.cn/vas-ai-hub/contract-review">安全生产治本攻坚行动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安全生产治本攻坚三年行动</item>
      </candidateList>
      <explain xmlns="http://schemas.wps.cn/vas-ai-hub/contract-review">词汇“安全生产治本攻坚三年行动”在特定场景下为固定表述形式，请确认此处的“安全生产治本攻坚行动”是否存在不当。</explain>
      <paraID xmlns="http://schemas.wps.cn/vas-ai-hub/contract-review"> FBDEB34</paraID>
      <start xmlns="http://schemas.wps.cn/vas-ai-hub/contract-review">14</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c507ee06-a504-4457-bf35-33a19d0a2fb5</errorID>
      <errorWord xmlns="http://schemas.wps.cn/vas-ai-hub/contract-review">法治兖州、法治政府、法治社会一体建设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法治国家、法治政府、法治社会一体建设</item>
      </candidateList>
      <explain xmlns="http://schemas.wps.cn/vas-ai-hub/contract-review">词汇“法治国家、法治政府、法治社会一体建设”在特定场景下为固定表述形式，请确认此处的“法治兖州、法治政府、法治社会一体建设”是否存在不当。</explain>
      <paraID xmlns="http://schemas.wps.cn/vas-ai-hub/contract-review">5EF2F658</paraID>
      <start xmlns="http://schemas.wps.cn/vas-ai-hub/contract-review">4</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2c1671bb-fcb0-4bd8-9b7b-cc4ee5fcac94</errorID>
      <errorWord xmlns="http://schemas.wps.cn/vas-ai-hub/contract-review">司法公正和评价机制</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司法公正实现和评价机制</item>
      </candidateList>
      <explain xmlns="http://schemas.wps.cn/vas-ai-hub/contract-review">词汇“司法公正实现和评价机制”在特定场景下为固定表述形式，请确认此处的“司法公正和评价机制”是否存在不当。</explain>
      <paraID xmlns="http://schemas.wps.cn/vas-ai-hub/contract-review">58D8E37E</paraID>
      <start xmlns="http://schemas.wps.cn/vas-ai-hub/contract-review">29</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35c3f187-b737-4c23-9045-95c5b72afa69</errorID>
      <errorWord xmlns="http://schemas.wps.cn/vas-ai-hub/contract-review">“十五五” 规划</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“十五五”规划</item>
      </candidateList>
      <explain xmlns="http://schemas.wps.cn/vas-ai-hub/contract-review">词汇““十五五”规划”在特定场景下为固定表述形式，请确认此处的““十五五” 规划”是否存在不当。</explain>
      <paraID xmlns="http://schemas.wps.cn/vas-ai-hub/contract-review">63C69C42</paraID>
      <start xmlns="http://schemas.wps.cn/vas-ai-hub/contract-review">19</start>
      <end xmlns="http://schemas.wps.cn/vas-ai-hub/contract-review">27</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A033-54C9-4940-A44C-3B25AB8B5993}">
  <ds:schemaRefs/>
</ds:datastoreItem>
</file>

<file path=customXml/itemProps3.xml><?xml version="1.0" encoding="utf-8"?>
<ds:datastoreItem xmlns:ds="http://schemas.openxmlformats.org/officeDocument/2006/customXml" ds:itemID="{016FDF88-524E-4721-A419-1C1273DBF3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2461</Words>
  <Characters>2637</Characters>
  <Lines>433</Lines>
  <Paragraphs>122</Paragraphs>
  <TotalTime>29</TotalTime>
  <ScaleCrop>false</ScaleCrop>
  <LinksUpToDate>false</LinksUpToDate>
  <CharactersWithSpaces>3436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2025-12-14T07:08:00Z</dcterms:created>
  <dc:creator>Microsoft 帐户</dc:creator>
  <cp:lastModifiedBy>xxgk</cp:lastModifiedBy>
  <cp:lastPrinted>2026-07-03T03:24:00Z</cp:lastPrinted>
  <dcterms:modified xsi:type="dcterms:W3CDTF">2026-07-03T09:36:15Z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eyJoZGlkIjoiYzY0MmRhNDEzNzNjMWFmNTFhMTBlZTI3OGE1NzJkNzIiLCJ1c2VySWQiOiIxMjcyMjg2ODg1In0=</vt:lpwstr>
  </property>
  <property fmtid="{D5CDD505-2E9C-101B-9397-08002B2CF9AE}" pid="3" name="KSOProductBuildVer">
    <vt:lpwstr>2052-12.1.0.26895</vt:lpwstr>
  </property>
  <property fmtid="{D5CDD505-2E9C-101B-9397-08002B2CF9AE}" pid="4" name="ICV">
    <vt:lpwstr>5C9C43209D1446628B4174BCDEC1C1DA_13</vt:lpwstr>
  </property>
</Properties>
</file>