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A05448">
      <w:pPr>
        <w:spacing w:line="580" w:lineRule="exact"/>
        <w:jc w:val="both"/>
        <w:rPr>
          <w:rFonts w:hint="default" w:ascii="Times New Roman" w:hAnsi="Times New Roman" w:eastAsia="方正小标宋简体" w:cs="Times New Roman"/>
          <w:b w:val="0"/>
          <w:bCs w:val="0"/>
          <w:sz w:val="44"/>
          <w:szCs w:val="44"/>
          <w:highlight w:val="none"/>
        </w:rPr>
      </w:pPr>
    </w:p>
    <w:p w14:paraId="27DE897D">
      <w:pPr>
        <w:spacing w:line="720" w:lineRule="exact"/>
        <w:jc w:val="center"/>
        <w:rPr>
          <w:rFonts w:hint="default" w:ascii="Times New Roman" w:hAnsi="Times New Roman" w:eastAsia="方正小标宋简体" w:cs="Times New Roman"/>
          <w:b w:val="0"/>
          <w:bCs w:val="0"/>
          <w:spacing w:val="-23"/>
          <w:sz w:val="48"/>
          <w:szCs w:val="48"/>
          <w:highlight w:val="none"/>
        </w:rPr>
      </w:pPr>
      <w:r>
        <w:rPr>
          <w:rFonts w:hint="default" w:ascii="Times New Roman" w:hAnsi="Times New Roman" w:eastAsia="方正小标宋简体" w:cs="Times New Roman"/>
          <w:b w:val="0"/>
          <w:bCs w:val="0"/>
          <w:sz w:val="48"/>
          <w:szCs w:val="48"/>
          <w:highlight w:val="none"/>
        </w:rPr>
        <w:t>济宁市兖州区</w:t>
      </w:r>
      <w:r>
        <w:rPr>
          <w:rFonts w:hint="default" w:ascii="Times New Roman" w:hAnsi="Times New Roman" w:eastAsia="方正小标宋简体" w:cs="Times New Roman"/>
          <w:b w:val="0"/>
          <w:bCs w:val="0"/>
          <w:spacing w:val="-23"/>
          <w:sz w:val="48"/>
          <w:szCs w:val="48"/>
          <w:highlight w:val="none"/>
        </w:rPr>
        <w:t>2026年</w:t>
      </w:r>
      <w:r>
        <w:rPr>
          <w:rFonts w:hint="default" w:ascii="Times New Roman" w:hAnsi="Times New Roman" w:eastAsia="方正小标宋简体" w:cs="Times New Roman"/>
          <w:b w:val="0"/>
          <w:bCs w:val="0"/>
          <w:color w:val="auto"/>
          <w:spacing w:val="-23"/>
          <w:sz w:val="48"/>
          <w:szCs w:val="48"/>
          <w:highlight w:val="none"/>
          <w:lang w:eastAsia="zh-CN"/>
        </w:rPr>
        <w:t>度</w:t>
      </w:r>
      <w:r>
        <w:rPr>
          <w:rFonts w:hint="default" w:ascii="Times New Roman" w:hAnsi="Times New Roman" w:eastAsia="方正小标宋简体" w:cs="Times New Roman"/>
          <w:b w:val="0"/>
          <w:bCs w:val="0"/>
          <w:spacing w:val="-23"/>
          <w:sz w:val="48"/>
          <w:szCs w:val="48"/>
          <w:highlight w:val="none"/>
        </w:rPr>
        <w:t>农作物秸秆</w:t>
      </w:r>
    </w:p>
    <w:p w14:paraId="5F3942BE">
      <w:pPr>
        <w:spacing w:line="720" w:lineRule="exact"/>
        <w:jc w:val="center"/>
        <w:rPr>
          <w:rFonts w:hint="default" w:ascii="Times New Roman" w:hAnsi="Times New Roman" w:eastAsia="方正小标宋简体" w:cs="Times New Roman"/>
          <w:b w:val="0"/>
          <w:bCs w:val="0"/>
          <w:sz w:val="48"/>
          <w:szCs w:val="48"/>
          <w:highlight w:val="none"/>
        </w:rPr>
      </w:pPr>
      <w:r>
        <w:rPr>
          <w:rFonts w:hint="default" w:ascii="Times New Roman" w:hAnsi="Times New Roman" w:eastAsia="方正小标宋简体" w:cs="Times New Roman"/>
          <w:b w:val="0"/>
          <w:bCs w:val="0"/>
          <w:spacing w:val="-23"/>
          <w:sz w:val="48"/>
          <w:szCs w:val="48"/>
          <w:highlight w:val="none"/>
        </w:rPr>
        <w:t>综合利用重点县项目</w:t>
      </w:r>
      <w:r>
        <w:rPr>
          <w:rFonts w:hint="default" w:ascii="Times New Roman" w:hAnsi="Times New Roman" w:eastAsia="方正小标宋简体" w:cs="Times New Roman"/>
          <w:b w:val="0"/>
          <w:bCs w:val="0"/>
          <w:sz w:val="48"/>
          <w:szCs w:val="48"/>
          <w:highlight w:val="none"/>
        </w:rPr>
        <w:t>实施方案</w:t>
      </w:r>
    </w:p>
    <w:p w14:paraId="18ECBE62">
      <w:pPr>
        <w:spacing w:line="720" w:lineRule="exact"/>
        <w:jc w:val="center"/>
        <w:rPr>
          <w:rFonts w:hint="default" w:ascii="Times New Roman" w:hAnsi="Times New Roman" w:eastAsia="方正小标宋简体" w:cs="Times New Roman"/>
          <w:b w:val="0"/>
          <w:bCs w:val="0"/>
          <w:sz w:val="48"/>
          <w:szCs w:val="48"/>
          <w:highlight w:val="none"/>
        </w:rPr>
      </w:pPr>
      <w:bookmarkStart w:id="2" w:name="_GoBack"/>
      <w:bookmarkEnd w:id="2"/>
    </w:p>
    <w:p w14:paraId="4EB2303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为切实做好兖州区2026年度农作物秸秆综合利用重点县项目实施工作，提高秸秆综合利用率，促进农业生态循环生产，有效遏制田间焚烧秸秆，减少污染源，提高土壤有机质含量，保护和提升耕地质量，根据省市有关要求，结合兖州区实际，制定以下实施方案。</w:t>
      </w:r>
    </w:p>
    <w:p w14:paraId="6AF5B6E6">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outlineLvl w:val="0"/>
        <w:rPr>
          <w:rFonts w:hint="default" w:ascii="Times New Roman" w:hAnsi="Times New Roman" w:eastAsia="方正黑体简体" w:cs="Times New Roman"/>
          <w:b w:val="0"/>
          <w:bCs w:val="0"/>
          <w:sz w:val="32"/>
          <w:szCs w:val="32"/>
          <w:highlight w:val="none"/>
        </w:rPr>
      </w:pPr>
      <w:r>
        <w:rPr>
          <w:rFonts w:hint="default" w:ascii="Times New Roman" w:hAnsi="Times New Roman" w:eastAsia="方正黑体简体" w:cs="Times New Roman"/>
          <w:b w:val="0"/>
          <w:bCs w:val="0"/>
          <w:sz w:val="32"/>
          <w:szCs w:val="32"/>
          <w:highlight w:val="none"/>
        </w:rPr>
        <w:t>一、项目地区基本情况</w:t>
      </w:r>
    </w:p>
    <w:p w14:paraId="70D967A8">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outlineLvl w:val="1"/>
        <w:rPr>
          <w:rFonts w:hint="default" w:ascii="Times New Roman" w:hAnsi="Times New Roman" w:eastAsia="方正楷体简体" w:cs="Times New Roman"/>
          <w:b w:val="0"/>
          <w:bCs w:val="0"/>
          <w:sz w:val="32"/>
          <w:szCs w:val="32"/>
          <w:highlight w:val="none"/>
        </w:rPr>
      </w:pPr>
      <w:r>
        <w:rPr>
          <w:rFonts w:hint="default" w:ascii="Times New Roman" w:hAnsi="Times New Roman" w:eastAsia="方正楷体简体" w:cs="Times New Roman"/>
          <w:b w:val="0"/>
          <w:bCs w:val="0"/>
          <w:sz w:val="32"/>
          <w:szCs w:val="32"/>
          <w:highlight w:val="none"/>
        </w:rPr>
        <w:t>(一)实施背景</w:t>
      </w:r>
    </w:p>
    <w:p w14:paraId="1E1023BF">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outlineLvl w:val="1"/>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济宁市兖州区地处鲁西南平原，位于黄淮海强筋小麦优势生产区和优质玉米优势产业带核心区内，总面积535平方千米，全区耕地面积45.02万亩，划定粮食生产功能区33万亩。辖4个街道、6个镇，总人口54.17万人。兖州区气候条件良好、光热资源丰富、自然条件优越。气候属暖温东亚季风区大陆性气候，四季分明，降水较为充沛，春季干燥多风、夏季炎热多雨、秋季温和凉爽、冬季干冷，年光照日数2406～2903小时。全境平原，土壤肥沃，水资源丰富，适宜开展小麦、玉米等粮食规模化种植，生产的强筋小麦、优质玉米备受加工企业青睐。兖州区是全国重要的商品粮生产基地，江北第二个吨粮县，先后被确定为“国家农业产业化示范基地”“全国县域数字农业农村发展水平评价工作先进县”“山东省农产品加工业示范县”“山东省优质小麦区域性良种繁育基地”“国家级小麦区域性良种繁育基地”“山东省农产品质量安全县”“山东省数字乡村试点县”“国家制种（小麦）大县”“山东省乡村振兴示范县”“山东省农产品加工业高质量发展先行县”“省级现代农业产业园”“山东省高标准农田整县推进示范县”“省级农业高新技术产业示范区”。兖州区智能农机装备产业入选“全国中小企业特色产业集群”，粮油精深加工产业入选“山东省特色优势食品产业集群”。2025年被农业农村部双认定为国家小麦、玉米单产提升整建制推进县，2025年纳入全国新一轮千亿斤粮食产能提升行动重点县。</w:t>
      </w:r>
    </w:p>
    <w:p w14:paraId="2EFF09C5">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outlineLvl w:val="1"/>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1、粮食播种面积及产量持续增加。近年来，兖州区持续深入贯彻落实“藏粮于地、藏粮于技”战略，把高标准农田改造提升作为稳定提升粮食产量、促进增收的重要抓手，通过高标准农田改造提升项目，大幅度改善农业基础设施条件、水资源利用率、机械化作业水平和农业综合生产能力。2025年，全区粮食播种面积70.55万亩，较上年增加867.57亩，增幅0.12%。粮食总产量34.19万吨，折合6.839亿斤，较上年增加117.85吨，增幅0.03%；粮食单产达484.7公斤/亩，位居全市第二位，高于全市461.34公斤/亩的平均水平，生产效益稳步提升。大豆播种面积4.95万亩，较上年增加13.9亩，大豆玉米带状复合种植面积3.15万亩。夯实农田基础设施，全面完成2024年8万亩高标准农田建设任务，2025年1万亩高标准农田建设已完工；推进单产提升工程，建成小麦“百亩田”8个、“千亩方”8个、“万亩片”5个，实施玉米单产提升工程10万亩。</w:t>
      </w:r>
    </w:p>
    <w:p w14:paraId="2EFC89BD">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2、小麦育种水平全国领先。兖州是国家制种（小麦）大县，建成高标准小麦种植繁育基地20万亩，常年繁育小麦良种保持在17.5万亩以上，年产10000万公斤以上原粮，稳定供应9600万公斤优质小麦良种，服务周边省市农业生产。全区共建设了5个专业制种镇，引进良种研发繁育团队，与家庭农场、种粮大户和专业合作社合作，进行小麦良种繁育。目前，兖州拥有4家育繁推一体化种子企业，其中1家省级农业产业化重点龙头企业，3家市级农业产业化重点龙头企业，37个自主知识产权小麦品种，济儒麦19、红地系列等品种表现突出。与省农科院共建育种创新平台，单产水平位居全市前列，打造“兖州良种”品牌，成为黄淮海重要良种供给核心区。培育小麦良种繁育合作社或家庭农场734家。</w:t>
      </w:r>
    </w:p>
    <w:p w14:paraId="6468D601">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3、农业产业发展成效显著。在粮食品质提升上，全区深耕优质粮食种植，建成10万亩绿色高产高效示范区，31万亩小麦获绿色食品认证，种植业“两品一标”认证产品达23个。全域推行绿色标准化种植，落实测土配方施肥、绿色防控技术，化肥农药使用量持续削减30%，粮食质量安全抽检合格率稳定在99%以上。在农产品加工产业发展上，全区构建起完善的加工产业体系，现有规上农产品加工企业53家，培育国家级农业产业化龙头企业2家、省级6家、市级28家，樱源食品入选中国农业企业500强。依托益海嘉里、今麦郎等头部企业，打造省级粮油精深加工特色产业集群，2024年产业集群营收达88.7亿元。全区年小麦加工能力超200万吨，粮食就地转化率近100%，研发专用面粉、功能性食品等100余种深加工产品，大幅提升产品附加值。通过“龙头企业+合作社+农户”模式，带动16.4万农户增收5.8亿元，有力推动农业全产业链提质增效。</w:t>
      </w:r>
    </w:p>
    <w:p w14:paraId="01FB13DF">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4、农业机械化水平不断提升。兖州农机装备产业历史悠久，近年来，农机装备结构持续优化，主要农作物生产基本实现全程机械化。2025年底，全区农机总动力达到75.44万千瓦，大型拖拉机、高性能机具占比持续提高，植保机械、粮食烘干机械保有量增速较快，保护性耕作、玉米精量施肥播种、机械化收获、深松整地、秸秆综合利用、机械化植保、机械化烘干等高效农机装备和技术得到有效示范推广，累计实施农机深松整地作业面积40万亩，高效植保机械化能力和谷物产地烘干机械化能力均达到70%以上。全区农作物生产耕种收综合机械化率达到96.9%，高于全市5.7个百分点；小麦、玉米机械化率达到99.7%，粮食机收损失率控制在1.2%左右，远低于2%国家标准。农机作业由耕种收环节为主向全程机械化拓展，由种植业向畜牧业、林业、设施农业、农产品初加工业等领域全面延伸，农业生产各业机械化水平大幅提升。</w:t>
      </w:r>
    </w:p>
    <w:p w14:paraId="0AB7365F">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5、畜禽规模化养殖水平不断提高。共培育建成了省级示范场2家、市级示范场3家、市级家庭生态养殖场3家，省级智慧畜牧业应用基地1个、省级种养结合样板基地2处，樱源有限公司被评为全国农业国际贸易高质量发展基地、山东省标准化屠宰厂。2025年，兖州区畜牧业稳步高质量发展，全年畜牧业总产值达10.35亿元，同比增长6.2%，占农林牧渔业总产值14.4%，形成以生猪、肉鸭、肉牛为主导，规模化、标准化、全链条化的产业格局，产业质效持续提升。全区畜禽产能稳步增长，2025年肉类总产量2.23万吨，同比增长17.6%，禽蛋产量0.9万吨，奶类产量0.3万吨；生猪出栏8.86万头、存栏5.15万头，肉牛年出栏突破1万头，肉鸭出栏超200万只。全面推行种养循环模式，2025年粮改饲收贮面积8900亩、青贮量2.5万吨，粪污资源化利用高效推进，畜产品质量安全抽检合格率稳定在99%以上。畜牧业绿色发展成效显著。聚焦畜禽粪便、农作物秸秆等种养业废弃物，按照“以种带养、以养促种”的种养结合循环发展理念，以就地消纳、能量循环、综合利用为主线，采用“小麦—秸秆—秸秆还田”“小麦—麦麸—肉鸭养殖—粪便生产有机肥培肥地力”“禽—沼—菜（粮）”等生态循环模式，积极引导养殖场户增强环保意识，建设粪污处理设施，规范养殖行为。兖州区规模场粪污处理设施配建率保持100%，畜禽粪污综合利用率稳定在90%以上。全区畜牧业的养殖废弃物基本实现了源头减量、过程循环、末端利用。</w:t>
      </w:r>
    </w:p>
    <w:p w14:paraId="57177C6F">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outlineLvl w:val="1"/>
        <w:rPr>
          <w:rFonts w:hint="default" w:ascii="Times New Roman" w:hAnsi="Times New Roman" w:eastAsia="方正楷体简体" w:cs="Times New Roman"/>
          <w:b w:val="0"/>
          <w:bCs w:val="0"/>
          <w:sz w:val="32"/>
          <w:szCs w:val="32"/>
          <w:highlight w:val="none"/>
        </w:rPr>
      </w:pPr>
      <w:r>
        <w:rPr>
          <w:rFonts w:hint="default" w:ascii="Times New Roman" w:hAnsi="Times New Roman" w:eastAsia="方正楷体简体" w:cs="Times New Roman"/>
          <w:b w:val="0"/>
          <w:bCs w:val="0"/>
          <w:sz w:val="32"/>
          <w:szCs w:val="32"/>
          <w:highlight w:val="none"/>
        </w:rPr>
        <w:t>（二）秸秆综合利用现状</w:t>
      </w:r>
    </w:p>
    <w:p w14:paraId="40FB1CF3">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兖州区小麦、玉米秸秆资源丰富、品质优良，是山东省秸秆资源量大县（市、区），年可收集秸秆30万吨以上。近年来，为破解秸秆收储难、禁烧压力大等问题，合理利用好秸秆资源，兖州区充分发挥兖州农机装备产业集群优势，大力推广玉米穗茎兼收、打捆包膜等农业机械化秸秆离田技术，让秸秆离田“变废为宝”，实现“三减两增”，一是减少农民的作业支出；二是减少病虫害发生；三是从源头上消除秸秆焚烧隐患，减少政府开展秸秆禁烧的行政成本。同时，可以增加农民和村集体经济收入，增加粮食产量。兖州区在推广应用秸秆离田增收模式上，还具备特有的农机装备产业优势，依托金大丰机械、爱科（济宁）、五征山拖、国丰机械等骨干农机企业，深入推进玉米穗茎兼收机、青饲料收获机、秸秆捡拾打捆包膜机械研发工作，为发展秸秆离田产业提供了重要的农机装备支撑。目前，兖州区已发展11家具有一定规模的秸秆收、储、运、销、用市场主体，2025年秸秆饲料化、能源化、基料化、原料化利用达到8万多吨。秸秆综合利用方式仍以机械粉碎直接还田和深耕翻埋还田为主，综合利用率稳定在96%以上。</w:t>
      </w:r>
    </w:p>
    <w:p w14:paraId="3D161395">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outlineLvl w:val="1"/>
        <w:rPr>
          <w:rFonts w:hint="default" w:ascii="Times New Roman" w:hAnsi="Times New Roman" w:eastAsia="方正楷体简体" w:cs="Times New Roman"/>
          <w:b w:val="0"/>
          <w:bCs w:val="0"/>
          <w:sz w:val="32"/>
          <w:szCs w:val="32"/>
          <w:highlight w:val="none"/>
        </w:rPr>
      </w:pPr>
      <w:r>
        <w:rPr>
          <w:rFonts w:hint="default" w:ascii="Times New Roman" w:hAnsi="Times New Roman" w:eastAsia="方正楷体简体" w:cs="Times New Roman"/>
          <w:b w:val="0"/>
          <w:bCs w:val="0"/>
          <w:sz w:val="32"/>
          <w:szCs w:val="32"/>
          <w:highlight w:val="none"/>
        </w:rPr>
        <w:t>（三）建设思路</w:t>
      </w:r>
    </w:p>
    <w:p w14:paraId="109D94B8">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以习近平新时代中国特色社会主义思想为指导，深入贯彻绿色发展理念，立足兖州区粮食主产区定位，以秸秆科学还田为主攻方向，统筹推进秸秆饲料化、能源化等多途径综合利用，构建政策引导、市场运作、农户参与的秸秆综合利用长效机制，全面提升秸秆综合利用水平，推动农业绿色高质量发展。项目采取“科学还田主导、离田利用协同”的实施模式，以秸秆科学还田为核心，建立涵盖深耕深翻、腐熟还田的技术体系，形成可复制、可推广的秸秆科学还田模式；同步推进</w:t>
      </w:r>
      <w:r>
        <w:rPr>
          <w:rFonts w:hint="eastAsia" w:ascii="Times New Roman" w:hAnsi="Times New Roman" w:eastAsia="方正仿宋简体" w:cs="Times New Roman"/>
          <w:b w:val="0"/>
          <w:bCs w:val="0"/>
          <w:sz w:val="32"/>
          <w:szCs w:val="32"/>
          <w:highlight w:val="none"/>
          <w:lang w:eastAsia="zh-CN"/>
        </w:rPr>
        <w:t>玉米</w:t>
      </w:r>
      <w:r>
        <w:rPr>
          <w:rFonts w:hint="default" w:ascii="Times New Roman" w:hAnsi="Times New Roman" w:eastAsia="方正仿宋简体" w:cs="Times New Roman"/>
          <w:b w:val="0"/>
          <w:bCs w:val="0"/>
          <w:sz w:val="32"/>
          <w:szCs w:val="32"/>
          <w:highlight w:val="none"/>
        </w:rPr>
        <w:t>穗茎兼收和</w:t>
      </w:r>
      <w:r>
        <w:rPr>
          <w:rFonts w:hint="eastAsia" w:ascii="Times New Roman" w:hAnsi="Times New Roman" w:eastAsia="方正仿宋简体" w:cs="Times New Roman"/>
          <w:b w:val="0"/>
          <w:bCs w:val="0"/>
          <w:sz w:val="32"/>
          <w:szCs w:val="32"/>
          <w:highlight w:val="none"/>
          <w:lang w:eastAsia="zh-CN"/>
        </w:rPr>
        <w:t>秸秆捡拾</w:t>
      </w:r>
      <w:r>
        <w:rPr>
          <w:rFonts w:hint="default" w:ascii="Times New Roman" w:hAnsi="Times New Roman" w:eastAsia="方正仿宋简体" w:cs="Times New Roman"/>
          <w:b w:val="0"/>
          <w:bCs w:val="0"/>
          <w:sz w:val="32"/>
          <w:szCs w:val="32"/>
          <w:highlight w:val="none"/>
        </w:rPr>
        <w:t>打捆离田利用，完善收储运体系，推动离田秸秆资源向饲料化、能源化应用高效转化。</w:t>
      </w:r>
    </w:p>
    <w:p w14:paraId="4D038E6B">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outlineLvl w:val="0"/>
        <w:rPr>
          <w:rFonts w:hint="default" w:ascii="Times New Roman" w:hAnsi="Times New Roman" w:eastAsia="方正黑体简体" w:cs="Times New Roman"/>
          <w:b w:val="0"/>
          <w:bCs w:val="0"/>
          <w:sz w:val="32"/>
          <w:szCs w:val="32"/>
          <w:highlight w:val="none"/>
        </w:rPr>
      </w:pPr>
      <w:r>
        <w:rPr>
          <w:rFonts w:hint="default" w:ascii="Times New Roman" w:hAnsi="Times New Roman" w:eastAsia="方正黑体简体" w:cs="Times New Roman"/>
          <w:b w:val="0"/>
          <w:bCs w:val="0"/>
          <w:sz w:val="32"/>
          <w:szCs w:val="32"/>
          <w:highlight w:val="none"/>
        </w:rPr>
        <w:t>二、实施必要性与可行性</w:t>
      </w:r>
    </w:p>
    <w:p w14:paraId="4C23FA82">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楷体简体" w:cs="Times New Roman"/>
          <w:b w:val="0"/>
          <w:bCs w:val="0"/>
          <w:sz w:val="32"/>
          <w:szCs w:val="32"/>
          <w:highlight w:val="none"/>
        </w:rPr>
        <w:t>（一）存在的问题及需求。</w:t>
      </w:r>
      <w:r>
        <w:rPr>
          <w:rFonts w:hint="default" w:ascii="Times New Roman" w:hAnsi="Times New Roman" w:eastAsia="方正仿宋简体" w:cs="Times New Roman"/>
          <w:b w:val="0"/>
          <w:bCs w:val="0"/>
          <w:sz w:val="32"/>
          <w:szCs w:val="32"/>
          <w:highlight w:val="none"/>
        </w:rPr>
        <w:t>兖州区粮食连年丰产带来秸秆持续增量，秸秆处理任务繁重。目前秸秆综合利用方式以机械粉碎直接还田为主，部分地块还田质量不高，缺少深耕深翻环节，存在秸秆腐解慢、影响下茬作物出苗等问题，需建立标准化还田技术规程。秸秆收储运体系尚不完善，收储站点覆盖面不足，部分镇村缺少规范化收储网点，收储能力与秸秆产生量不匹配。大量秸秆留田导致秸秆禁烧压力依然存在。</w:t>
      </w:r>
    </w:p>
    <w:p w14:paraId="2860A965">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楷体简体" w:cs="Times New Roman"/>
          <w:b w:val="0"/>
          <w:bCs w:val="0"/>
          <w:sz w:val="32"/>
          <w:szCs w:val="32"/>
          <w:highlight w:val="none"/>
        </w:rPr>
        <w:t>（二）拟解决的问题。</w:t>
      </w:r>
      <w:r>
        <w:rPr>
          <w:rFonts w:hint="default" w:ascii="Times New Roman" w:hAnsi="Times New Roman" w:eastAsia="方正仿宋简体" w:cs="Times New Roman"/>
          <w:b w:val="0"/>
          <w:bCs w:val="0"/>
          <w:sz w:val="32"/>
          <w:szCs w:val="32"/>
          <w:highlight w:val="none"/>
        </w:rPr>
        <w:t>通过本项目实施，重点解决以下问题：一是建立玉米秸秆科学还田技术规程，解决还田质量不高问题；二是完善“区</w:t>
      </w:r>
      <w:r>
        <w:rPr>
          <w:rFonts w:hint="eastAsia" w:ascii="Times New Roman" w:hAnsi="Times New Roman" w:eastAsia="方正仿宋简体" w:cs="Times New Roman"/>
          <w:b w:val="0"/>
          <w:bCs w:val="0"/>
          <w:sz w:val="32"/>
          <w:szCs w:val="32"/>
          <w:highlight w:val="none"/>
          <w:lang w:eastAsia="zh-CN"/>
        </w:rPr>
        <w:t>—</w:t>
      </w:r>
      <w:r>
        <w:rPr>
          <w:rFonts w:hint="default" w:ascii="Times New Roman" w:hAnsi="Times New Roman" w:eastAsia="方正仿宋简体" w:cs="Times New Roman"/>
          <w:b w:val="0"/>
          <w:bCs w:val="0"/>
          <w:sz w:val="32"/>
          <w:szCs w:val="32"/>
          <w:highlight w:val="none"/>
        </w:rPr>
        <w:t>镇</w:t>
      </w:r>
      <w:r>
        <w:rPr>
          <w:rFonts w:hint="eastAsia" w:ascii="Times New Roman" w:hAnsi="Times New Roman" w:eastAsia="方正仿宋简体" w:cs="Times New Roman"/>
          <w:b w:val="0"/>
          <w:bCs w:val="0"/>
          <w:sz w:val="32"/>
          <w:szCs w:val="32"/>
          <w:highlight w:val="none"/>
          <w:lang w:eastAsia="zh-CN"/>
        </w:rPr>
        <w:t>—</w:t>
      </w:r>
      <w:r>
        <w:rPr>
          <w:rFonts w:hint="default" w:ascii="Times New Roman" w:hAnsi="Times New Roman" w:eastAsia="方正仿宋简体" w:cs="Times New Roman"/>
          <w:b w:val="0"/>
          <w:bCs w:val="0"/>
          <w:sz w:val="32"/>
          <w:szCs w:val="32"/>
          <w:highlight w:val="none"/>
        </w:rPr>
        <w:t>村”三级收储运体系，提升秸秆收集、储存、转运能力；三是建立秸秆还田生态效应监测体系，为科学还田提供数据支撑；四是推进秸秆离田作业，拓宽秸秆利用渠道。</w:t>
      </w:r>
    </w:p>
    <w:p w14:paraId="176BF40E">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楷体简体" w:cs="Times New Roman"/>
          <w:b w:val="0"/>
          <w:bCs w:val="0"/>
          <w:sz w:val="32"/>
          <w:szCs w:val="32"/>
          <w:highlight w:val="none"/>
        </w:rPr>
        <w:t>（三）可行性分析。</w:t>
      </w:r>
      <w:r>
        <w:rPr>
          <w:rFonts w:hint="default" w:ascii="Times New Roman" w:hAnsi="Times New Roman" w:eastAsia="方正仿宋简体" w:cs="Times New Roman"/>
          <w:b w:val="0"/>
          <w:bCs w:val="0"/>
          <w:sz w:val="32"/>
          <w:szCs w:val="32"/>
          <w:highlight w:val="none"/>
        </w:rPr>
        <w:t>一是资源基础扎实，兖州区作为国家粮食主产区，地形平坦，秸秆资源丰富、集中连片，便于规模化收集和利用。二是农业机械化水平高，全区主要农作物综合机械化率达96.9%，拥有金大丰、五征山拖等农机装备制造企业70余家，农机装备支撑有力。三是工作基础良好，兖州区已有秸秆综合利用工作实践，具备了收储运体系的整体雏形，拥有一批秸秆利用市场主体，为项目实施奠定坚实基础。四是群众基础广泛，农户对秸秆综合利用接受度高，农机合作社等应用主体积极性较强。</w:t>
      </w:r>
    </w:p>
    <w:p w14:paraId="5FD5696F">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outlineLvl w:val="0"/>
        <w:rPr>
          <w:rFonts w:hint="default" w:ascii="Times New Roman" w:hAnsi="Times New Roman" w:eastAsia="方正黑体简体" w:cs="Times New Roman"/>
          <w:b w:val="0"/>
          <w:bCs w:val="0"/>
          <w:sz w:val="32"/>
          <w:szCs w:val="32"/>
          <w:highlight w:val="none"/>
        </w:rPr>
      </w:pPr>
      <w:r>
        <w:rPr>
          <w:rFonts w:hint="default" w:ascii="Times New Roman" w:hAnsi="Times New Roman" w:eastAsia="方正黑体简体" w:cs="Times New Roman"/>
          <w:b w:val="0"/>
          <w:bCs w:val="0"/>
          <w:sz w:val="32"/>
          <w:szCs w:val="32"/>
          <w:highlight w:val="none"/>
        </w:rPr>
        <w:t>三、任务目标</w:t>
      </w:r>
    </w:p>
    <w:p w14:paraId="166D29BF">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楷体简体" w:cs="Times New Roman"/>
          <w:b w:val="0"/>
          <w:bCs w:val="0"/>
          <w:sz w:val="32"/>
          <w:szCs w:val="32"/>
          <w:highlight w:val="none"/>
        </w:rPr>
        <w:t>（一）总体思路。</w:t>
      </w:r>
      <w:r>
        <w:rPr>
          <w:rFonts w:hint="default" w:ascii="Times New Roman" w:hAnsi="Times New Roman" w:eastAsia="方正仿宋简体" w:cs="Times New Roman"/>
          <w:b w:val="0"/>
          <w:bCs w:val="0"/>
          <w:sz w:val="32"/>
          <w:szCs w:val="32"/>
          <w:highlight w:val="none"/>
        </w:rPr>
        <w:t>以兖州区粮食主产区的秸秆资源为依托，探索并建立秸秆还田、离田、利用有效模式，进一步激发市场主体活力，通过政策扶持引领和项目示范带动，健全政府、企业与农民三方共赢的利益链接机制，推动形成布局合理、多元利用的秸秆产业发展格局。项目具体实施以秸秆科学还田为主攻方向，构建以“深耕深翻+腐熟还田”为核心的技术模式，同步推进玉米穗茎兼收与秸秆捡拾打捆离田利用，完善收储运体系，到2026年底实现全区秸秆综合利用率稳定在96.</w:t>
      </w:r>
      <w:r>
        <w:rPr>
          <w:rFonts w:hint="default" w:ascii="Times New Roman" w:hAnsi="Times New Roman" w:eastAsia="方正仿宋简体" w:cs="Times New Roman"/>
          <w:b w:val="0"/>
          <w:bCs w:val="0"/>
          <w:sz w:val="32"/>
          <w:szCs w:val="32"/>
          <w:highlight w:val="none"/>
          <w:lang w:val="en-US" w:eastAsia="zh-CN"/>
        </w:rPr>
        <w:t>9</w:t>
      </w:r>
      <w:r>
        <w:rPr>
          <w:rFonts w:hint="default" w:ascii="Times New Roman" w:hAnsi="Times New Roman" w:eastAsia="方正仿宋简体" w:cs="Times New Roman"/>
          <w:b w:val="0"/>
          <w:bCs w:val="0"/>
          <w:sz w:val="32"/>
          <w:szCs w:val="32"/>
          <w:highlight w:val="none"/>
        </w:rPr>
        <w:t>%以上，形成具有兖州特色的秸秆科学利用模式。</w:t>
      </w:r>
    </w:p>
    <w:p w14:paraId="5761B402">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楷体简体" w:cs="Times New Roman"/>
          <w:b w:val="0"/>
          <w:bCs w:val="0"/>
          <w:sz w:val="32"/>
          <w:szCs w:val="32"/>
          <w:highlight w:val="none"/>
        </w:rPr>
        <w:t>（二）规模与布局。</w:t>
      </w:r>
      <w:r>
        <w:rPr>
          <w:rFonts w:hint="default" w:ascii="Times New Roman" w:hAnsi="Times New Roman" w:eastAsia="方正仿宋简体" w:cs="Times New Roman"/>
          <w:b w:val="0"/>
          <w:bCs w:val="0"/>
          <w:sz w:val="32"/>
          <w:szCs w:val="32"/>
          <w:highlight w:val="none"/>
        </w:rPr>
        <w:t>结合兖州区实际，对项目申报建设内容进行了部分调整，项目覆盖兖州区全域，重点布局在新兖镇、颜店镇、新驿镇、小孟镇、漕河镇、大安镇和兴隆庄街道等粮食生产核心区。规划建设示范区面积9.</w:t>
      </w:r>
      <w:r>
        <w:rPr>
          <w:rFonts w:hint="eastAsia" w:ascii="Times New Roman" w:hAnsi="Times New Roman" w:eastAsia="方正仿宋简体" w:cs="Times New Roman"/>
          <w:b w:val="0"/>
          <w:bCs w:val="0"/>
          <w:sz w:val="32"/>
          <w:szCs w:val="32"/>
          <w:highlight w:val="none"/>
          <w:lang w:val="en-US" w:eastAsia="zh-CN"/>
        </w:rPr>
        <w:t>45</w:t>
      </w:r>
      <w:r>
        <w:rPr>
          <w:rFonts w:hint="default" w:ascii="Times New Roman" w:hAnsi="Times New Roman" w:eastAsia="方正仿宋简体" w:cs="Times New Roman"/>
          <w:b w:val="0"/>
          <w:bCs w:val="0"/>
          <w:sz w:val="32"/>
          <w:szCs w:val="32"/>
          <w:highlight w:val="none"/>
        </w:rPr>
        <w:t>万亩，鼓励向单产引领“千亩方”建设区域倾斜，其中秸秆精细化还田示范区面积4万亩、秸秆离田示范区面积5.</w:t>
      </w:r>
      <w:r>
        <w:rPr>
          <w:rFonts w:hint="eastAsia" w:ascii="Times New Roman" w:hAnsi="Times New Roman" w:eastAsia="方正仿宋简体" w:cs="Times New Roman"/>
          <w:b w:val="0"/>
          <w:bCs w:val="0"/>
          <w:sz w:val="32"/>
          <w:szCs w:val="32"/>
          <w:highlight w:val="none"/>
          <w:lang w:val="en-US" w:eastAsia="zh-CN"/>
        </w:rPr>
        <w:t>45</w:t>
      </w:r>
      <w:r>
        <w:rPr>
          <w:rFonts w:hint="default" w:ascii="Times New Roman" w:hAnsi="Times New Roman" w:eastAsia="方正仿宋简体" w:cs="Times New Roman"/>
          <w:b w:val="0"/>
          <w:bCs w:val="0"/>
          <w:sz w:val="32"/>
          <w:szCs w:val="32"/>
          <w:highlight w:val="none"/>
        </w:rPr>
        <w:t>万亩。支持省级以上合作社示范社、济宁市“济时雨”农业社会化服务品牌、市级以上区域农机社会化服务中心、现代农事综合服务中心创建主体和秸秆规模化收储利用市场主体新建和提升标准化秸秆收储站点，形成覆盖全区的收储运网络。</w:t>
      </w:r>
    </w:p>
    <w:p w14:paraId="46D29B5A">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楷体简体" w:cs="Times New Roman"/>
          <w:b w:val="0"/>
          <w:bCs w:val="0"/>
          <w:sz w:val="32"/>
          <w:szCs w:val="32"/>
          <w:highlight w:val="none"/>
        </w:rPr>
        <w:t>（三）技术路径。</w:t>
      </w:r>
      <w:r>
        <w:rPr>
          <w:rFonts w:hint="default" w:ascii="Times New Roman" w:hAnsi="Times New Roman" w:eastAsia="方正仿宋简体" w:cs="Times New Roman"/>
          <w:b w:val="0"/>
          <w:bCs w:val="0"/>
          <w:sz w:val="32"/>
          <w:szCs w:val="32"/>
          <w:highlight w:val="none"/>
        </w:rPr>
        <w:t>主攻秸秆科学还田，以秋季秸秆深耕深翻还田为核心，技术路径为“秸秆粉碎还田+腐熟剂施用+深耕深翻（≥25cm）+旋耕、整地”，建立标准化还田技术规程，形成可复制推广的兖州科学还田模式。协同推进离田利用，扩大玉米穗茎兼收和秸秆捡拾打捆离田覆盖面，离田秸秆优先保障饲料化、能源化利用，支持秸秆收储作业主体对接有关利用渠道。</w:t>
      </w:r>
    </w:p>
    <w:p w14:paraId="094F481E">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楷体简体" w:cs="Times New Roman"/>
          <w:b w:val="0"/>
          <w:bCs w:val="0"/>
          <w:sz w:val="32"/>
          <w:szCs w:val="32"/>
          <w:highlight w:val="none"/>
        </w:rPr>
        <w:t>（四）年度目标与指标。</w:t>
      </w:r>
      <w:r>
        <w:rPr>
          <w:rFonts w:hint="default" w:ascii="Times New Roman" w:hAnsi="Times New Roman" w:eastAsia="方正仿宋简体" w:cs="Times New Roman"/>
          <w:b w:val="0"/>
          <w:bCs w:val="0"/>
          <w:sz w:val="32"/>
          <w:szCs w:val="32"/>
          <w:highlight w:val="none"/>
        </w:rPr>
        <w:t>2026年全区秸秆综合利用率稳定在96.9%以上。建立秸秆还田技术规程1套，形成秸秆科学还田模式，秋季深耕深翻还田面积4万亩。加快推广秸秆离田标准化作业模式，完成玉米穗茎兼收及秸秆捡拾打捆离田作业面积5.</w:t>
      </w:r>
      <w:r>
        <w:rPr>
          <w:rFonts w:hint="eastAsia" w:ascii="Times New Roman" w:hAnsi="Times New Roman" w:eastAsia="方正仿宋简体" w:cs="Times New Roman"/>
          <w:b w:val="0"/>
          <w:bCs w:val="0"/>
          <w:sz w:val="32"/>
          <w:szCs w:val="32"/>
          <w:highlight w:val="none"/>
          <w:lang w:val="en-US" w:eastAsia="zh-CN"/>
        </w:rPr>
        <w:t>45</w:t>
      </w:r>
      <w:r>
        <w:rPr>
          <w:rFonts w:hint="default" w:ascii="Times New Roman" w:hAnsi="Times New Roman" w:eastAsia="方正仿宋简体" w:cs="Times New Roman"/>
          <w:b w:val="0"/>
          <w:bCs w:val="0"/>
          <w:sz w:val="32"/>
          <w:szCs w:val="32"/>
          <w:highlight w:val="none"/>
        </w:rPr>
        <w:t>万亩。支持秸秆收储作业主体重点配套搂草机、秸秆捡拾打捆机、穗茎兼收玉米收获机等专用设备10台以上，提升秸秆收储站点收储能力。强化技术支撑，布设还田生态效应监测点1个，连续3年开展秸秆还田效果监测与评价。举办培训观摩会2期以上，至少培训100人次。</w:t>
      </w:r>
    </w:p>
    <w:p w14:paraId="5D4B8FA5">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outlineLvl w:val="0"/>
        <w:rPr>
          <w:rFonts w:hint="default" w:ascii="Times New Roman" w:hAnsi="Times New Roman" w:eastAsia="方正黑体简体" w:cs="Times New Roman"/>
          <w:b w:val="0"/>
          <w:bCs w:val="0"/>
          <w:sz w:val="32"/>
          <w:szCs w:val="32"/>
          <w:highlight w:val="none"/>
        </w:rPr>
      </w:pPr>
      <w:r>
        <w:rPr>
          <w:rFonts w:hint="default" w:ascii="Times New Roman" w:hAnsi="Times New Roman" w:eastAsia="方正黑体简体" w:cs="Times New Roman"/>
          <w:b w:val="0"/>
          <w:bCs w:val="0"/>
          <w:sz w:val="32"/>
          <w:szCs w:val="32"/>
          <w:highlight w:val="none"/>
        </w:rPr>
        <w:t>四、建设内容</w:t>
      </w:r>
    </w:p>
    <w:p w14:paraId="382732C9">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按照“集中连片、整体推进；多元利用、农用优先；市场运作、政府扶持；突出重点、多方共赢”的原则，充分发挥财政资金带动作用，撬动社会资本投资秸秆综合利用工作，推动秸秆综合利用水平的不断提高，健全完善秸秆收储运体系。</w:t>
      </w:r>
    </w:p>
    <w:p w14:paraId="330B4E79">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outlineLvl w:val="1"/>
        <w:rPr>
          <w:rFonts w:hint="default" w:ascii="Times New Roman" w:hAnsi="Times New Roman" w:eastAsia="方正楷体简体" w:cs="Times New Roman"/>
          <w:b w:val="0"/>
          <w:bCs w:val="0"/>
          <w:sz w:val="32"/>
          <w:szCs w:val="32"/>
          <w:highlight w:val="none"/>
        </w:rPr>
      </w:pPr>
      <w:r>
        <w:rPr>
          <w:rFonts w:hint="default" w:ascii="Times New Roman" w:hAnsi="Times New Roman" w:eastAsia="方正楷体简体" w:cs="Times New Roman"/>
          <w:b w:val="0"/>
          <w:bCs w:val="0"/>
          <w:sz w:val="32"/>
          <w:szCs w:val="32"/>
          <w:highlight w:val="none"/>
        </w:rPr>
        <w:t>（一）秸秆还田和秸秆离田利用</w:t>
      </w:r>
    </w:p>
    <w:p w14:paraId="25F2AF8C">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1、秸秆精细化还田</w:t>
      </w:r>
    </w:p>
    <w:p w14:paraId="0562E4C9">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（1）建设区域：计划在新兖镇、颜店镇、新驿镇、小孟镇、漕河镇、大安镇、兴隆庄街道等7个镇（街）推进秸秆精细化还田。建设秸秆腐熟剂还田、深耕深翻示范区。</w:t>
      </w:r>
    </w:p>
    <w:p w14:paraId="0B9ABF0F">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2）建设内容及规模：在各镇（街）推荐的范围内，合理布局建设秸秆精细化还田示范区面积共计4万亩。示范区内秋粮作物收获、秸秆粉碎后，组织项目实施主体施撒秸秆腐熟剂、开展深耕深翻作业。秸秆粉碎长度小于等于10厘米，秸秆粉碎合格率大于等于</w:t>
      </w:r>
      <w:r>
        <w:rPr>
          <w:rFonts w:hint="eastAsia" w:ascii="Times New Roman" w:hAnsi="Times New Roman" w:eastAsia="方正仿宋简体" w:cs="Times New Roman"/>
          <w:b w:val="0"/>
          <w:bCs w:val="0"/>
          <w:sz w:val="32"/>
          <w:szCs w:val="32"/>
          <w:highlight w:val="none"/>
          <w:lang w:val="en-US" w:eastAsia="zh-CN"/>
        </w:rPr>
        <w:t>85</w:t>
      </w:r>
      <w:r>
        <w:rPr>
          <w:rFonts w:hint="default" w:ascii="Times New Roman" w:hAnsi="Times New Roman" w:eastAsia="方正仿宋简体" w:cs="Times New Roman"/>
          <w:b w:val="0"/>
          <w:bCs w:val="0"/>
          <w:sz w:val="32"/>
          <w:szCs w:val="32"/>
          <w:highlight w:val="none"/>
        </w:rPr>
        <w:t>%，深耕深度不低于25厘米，秸秆翻埋深度不低于15厘米，秸秆腐熟剂用量2公斤/亩。通过实施秸秆粉碎还田、深耕翻埋作业，可有效提升秸秆还田肥料利用率。通过施撒秸秆腐熟剂可有效降解土壤中秸秆等有机残体，秸秆还田质量明显提高，增加土壤有机质含量，改良土壤质地，提升土壤肥力，使农户节约生产成本，提高作物产量，提高经济、社会和生态效益。</w:t>
      </w:r>
    </w:p>
    <w:p w14:paraId="3B3BC98F">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3）建设标准：主要推广玉米机械化收获、秸秆机械化粉碎、秸秆腐熟还田、机械深耕深翻、播种作业技术。其中，秸秆腐熟剂统一政府采购，由项目实施主体负责撒施。示范区内，秸秆精细化还田按照作业标准开展机械作业，每亩作业补助80元（含深耕深翻作业和秸秆腐熟剂采购、撒施）。</w:t>
      </w:r>
    </w:p>
    <w:p w14:paraId="10715C3B">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（4）技术路线：玉米联合收获（秸秆粉碎抛撒）→腐熟剂均匀撒施（2公斤/亩）→深耕深翻（25cm以上）→旋耕整平→小麦播种。</w:t>
      </w:r>
    </w:p>
    <w:p w14:paraId="078FE57C">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（5）主要设备：大型拖拉机配套液压翻转犁等深耕深翻机具，安装农机作业质量信息化监测设备。</w:t>
      </w:r>
    </w:p>
    <w:p w14:paraId="4CE988E1">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6）监测方案：严格按照公开程序确定项目实施主体和秸秆腐熟剂供应商。通过安装农机作业质量信息化监测设备，监测深耕深翻作业质量和作业面积，经核实验收合格再进行作业补助。对补助内容和标准进行公示公开。</w:t>
      </w:r>
    </w:p>
    <w:p w14:paraId="26EEA5B1">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2、秸秆离田能源化利用</w:t>
      </w:r>
    </w:p>
    <w:p w14:paraId="5104AA62">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（1）建设区域：计划在新兖镇、颜店镇、新驿镇、小孟镇、大安镇等5个镇推进秸秆捡拾打捆离田，建设秸秆捡拾打捆离田能源化利用示范区。</w:t>
      </w:r>
    </w:p>
    <w:p w14:paraId="41ACD058">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（2）建设内容及规模：在各镇</w:t>
      </w:r>
      <w:r>
        <w:rPr>
          <w:rFonts w:hint="default" w:ascii="Times New Roman" w:hAnsi="Times New Roman" w:eastAsia="方正仿宋简体" w:cs="Times New Roman"/>
          <w:b w:val="0"/>
          <w:bCs w:val="0"/>
          <w:sz w:val="32"/>
          <w:szCs w:val="32"/>
          <w:highlight w:val="none"/>
          <w:lang w:eastAsia="zh-CN"/>
        </w:rPr>
        <w:t>（</w:t>
      </w:r>
      <w:r>
        <w:rPr>
          <w:rFonts w:hint="default" w:ascii="Times New Roman" w:hAnsi="Times New Roman" w:eastAsia="方正仿宋简体" w:cs="Times New Roman"/>
          <w:b w:val="0"/>
          <w:bCs w:val="0"/>
          <w:sz w:val="32"/>
          <w:szCs w:val="32"/>
          <w:highlight w:val="none"/>
        </w:rPr>
        <w:t>街</w:t>
      </w:r>
      <w:r>
        <w:rPr>
          <w:rFonts w:hint="default" w:ascii="Times New Roman" w:hAnsi="Times New Roman" w:eastAsia="方正仿宋简体" w:cs="Times New Roman"/>
          <w:b w:val="0"/>
          <w:bCs w:val="0"/>
          <w:sz w:val="32"/>
          <w:szCs w:val="32"/>
          <w:highlight w:val="none"/>
          <w:lang w:eastAsia="zh-CN"/>
        </w:rPr>
        <w:t>）</w:t>
      </w:r>
      <w:r>
        <w:rPr>
          <w:rFonts w:hint="default" w:ascii="Times New Roman" w:hAnsi="Times New Roman" w:eastAsia="方正仿宋简体" w:cs="Times New Roman"/>
          <w:b w:val="0"/>
          <w:bCs w:val="0"/>
          <w:sz w:val="32"/>
          <w:szCs w:val="32"/>
          <w:highlight w:val="none"/>
        </w:rPr>
        <w:t>推荐的范围内，合理布局建设秸秆捡拾打捆离田示范区面积4万亩。推广秸秆捡拾打捆离田作业。新增能源化利用秸秆收储能力</w:t>
      </w:r>
      <w:r>
        <w:rPr>
          <w:rFonts w:hint="eastAsia" w:ascii="Times New Roman" w:hAnsi="Times New Roman" w:eastAsia="方正仿宋简体" w:cs="Times New Roman"/>
          <w:b w:val="0"/>
          <w:bCs w:val="0"/>
          <w:sz w:val="32"/>
          <w:szCs w:val="32"/>
          <w:highlight w:val="none"/>
          <w:lang w:val="en-US" w:eastAsia="zh-CN"/>
        </w:rPr>
        <w:t>1.5</w:t>
      </w:r>
      <w:r>
        <w:rPr>
          <w:rFonts w:hint="default" w:ascii="Times New Roman" w:hAnsi="Times New Roman" w:eastAsia="方正仿宋简体" w:cs="Times New Roman"/>
          <w:b w:val="0"/>
          <w:bCs w:val="0"/>
          <w:sz w:val="32"/>
          <w:szCs w:val="32"/>
          <w:highlight w:val="none"/>
        </w:rPr>
        <w:t>万吨以上，缓解环境压力、减排温室气体，改善能源结构，提高经济效益、社会效益和生态效益。纳入离田补助的田块不再享受深耕深翻还田作业补助。</w:t>
      </w:r>
    </w:p>
    <w:p w14:paraId="58900C0C">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3）建设标准：主要推广秸秆捡拾打捆技术，秸秆捡拾打捆离田后及时送往生物质发电厂。示范区内，项目实施主体按照有关技术标准开展具体作业任务，对接秸秆能源化利用渠道，秸秆捡拾打捆作业每亩补助25元。</w:t>
      </w:r>
    </w:p>
    <w:p w14:paraId="671CAD07">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（4）技术路线：玉米机械化收获→秸秆捡拾打捆离田→直接运至收储站点或生物质发电厂。</w:t>
      </w:r>
    </w:p>
    <w:p w14:paraId="25CFD0A1">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（5）主要设备：大马力拖拉机配套搂草机、秸秆捡拾打捆机等，按需安装农机作业面积信息化监测设备。</w:t>
      </w:r>
    </w:p>
    <w:p w14:paraId="53861074">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（6）监测方案：严格按照公开程序确定项目实施主体。探索通过安装农机作业面积信息化监测设备，监测秸秆捡拾打捆离田作业面积，经核实验收合格再进行作业补助。对补助内容和标准进行公示公开。</w:t>
      </w:r>
    </w:p>
    <w:p w14:paraId="34A339FC">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3、秸秆离田饲料化利用</w:t>
      </w:r>
    </w:p>
    <w:p w14:paraId="5D3004DD">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（1）建设区域：计划在新兖镇、</w:t>
      </w:r>
      <w:r>
        <w:rPr>
          <w:rFonts w:hint="eastAsia" w:ascii="Times New Roman" w:hAnsi="Times New Roman" w:eastAsia="方正仿宋简体" w:cs="Times New Roman"/>
          <w:b w:val="0"/>
          <w:bCs w:val="0"/>
          <w:sz w:val="32"/>
          <w:szCs w:val="32"/>
          <w:highlight w:val="none"/>
          <w:lang w:eastAsia="zh-CN"/>
        </w:rPr>
        <w:t>颜店镇、</w:t>
      </w:r>
      <w:r>
        <w:rPr>
          <w:rFonts w:hint="default" w:ascii="Times New Roman" w:hAnsi="Times New Roman" w:eastAsia="方正仿宋简体" w:cs="Times New Roman"/>
          <w:b w:val="0"/>
          <w:bCs w:val="0"/>
          <w:sz w:val="32"/>
          <w:szCs w:val="32"/>
          <w:highlight w:val="none"/>
        </w:rPr>
        <w:t>小孟镇、漕河镇、大安镇、兴隆庄街道等</w:t>
      </w:r>
      <w:r>
        <w:rPr>
          <w:rFonts w:hint="eastAsia" w:ascii="Times New Roman" w:hAnsi="Times New Roman" w:eastAsia="方正仿宋简体" w:cs="Times New Roman"/>
          <w:b w:val="0"/>
          <w:bCs w:val="0"/>
          <w:sz w:val="32"/>
          <w:szCs w:val="32"/>
          <w:highlight w:val="none"/>
          <w:lang w:val="en-US" w:eastAsia="zh-CN"/>
        </w:rPr>
        <w:t>6</w:t>
      </w:r>
      <w:r>
        <w:rPr>
          <w:rFonts w:hint="default" w:ascii="Times New Roman" w:hAnsi="Times New Roman" w:eastAsia="方正仿宋简体" w:cs="Times New Roman"/>
          <w:b w:val="0"/>
          <w:bCs w:val="0"/>
          <w:sz w:val="32"/>
          <w:szCs w:val="32"/>
          <w:highlight w:val="none"/>
        </w:rPr>
        <w:t>个镇（街）推进秸秆黄贮适量离田，建设玉米穗茎兼收秸秆饲料化利用示范区。</w:t>
      </w:r>
    </w:p>
    <w:p w14:paraId="4D64C61F">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（2）建设内容及规模：在各镇（街）推荐的范围内，合理布局建设秸秆黄贮适量离田示范区面积1.</w:t>
      </w:r>
      <w:r>
        <w:rPr>
          <w:rFonts w:hint="eastAsia" w:ascii="Times New Roman" w:hAnsi="Times New Roman" w:eastAsia="方正仿宋简体" w:cs="Times New Roman"/>
          <w:b w:val="0"/>
          <w:bCs w:val="0"/>
          <w:sz w:val="32"/>
          <w:szCs w:val="32"/>
          <w:highlight w:val="none"/>
          <w:lang w:val="en-US" w:eastAsia="zh-CN"/>
        </w:rPr>
        <w:t>45</w:t>
      </w:r>
      <w:r>
        <w:rPr>
          <w:rFonts w:hint="default" w:ascii="Times New Roman" w:hAnsi="Times New Roman" w:eastAsia="方正仿宋简体" w:cs="Times New Roman"/>
          <w:b w:val="0"/>
          <w:bCs w:val="0"/>
          <w:sz w:val="32"/>
          <w:szCs w:val="32"/>
          <w:highlight w:val="none"/>
        </w:rPr>
        <w:t>万亩。推广玉米穗茎兼收一次性作业，同步完成果穗和秸秆收获。鼓励养殖场大力发展秸秆饲料化利用产业，新增饲料化利用秸秆收储能力1.5万吨以上，帮助秸秆收储运主体加快对接秸秆饲料化利用主体，形成秸秆饲料化利用的长效机制，提高经济和生态效益。纳入离田补助的田块不再享受深耕深翻还田作业补助。</w:t>
      </w:r>
    </w:p>
    <w:p w14:paraId="7B134D73">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3）建设标准：主要推广玉米穗茎兼收和秸秆打捆包膜技术，黄贮秸秆离田及时送往养殖场贮存或包膜储存。示范区内，项目实施主体按照有关技术标准开展具体作业任务，对接秸秆饲料化利用渠道，玉米穗茎兼收作业每亩补助80元。</w:t>
      </w:r>
    </w:p>
    <w:p w14:paraId="7290E8AD">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（4）技术路线：穗茎兼收玉米收获机一次性作业→果穗、秸秆统一收集→运输车跟随接料→直接运至收储站点或饲料化加工场所。</w:t>
      </w:r>
    </w:p>
    <w:p w14:paraId="668F8E8F">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（5）主要设备：穗茎兼收玉米收获机等，按需安装农机作业面积信息化监测设备。</w:t>
      </w:r>
    </w:p>
    <w:p w14:paraId="4537B5A9">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（6）监测方案：严格按照公开程序确定项目实施主体。探索通过安装农机作业面积信息化监测设备，监测黄贮秸秆离田作业面积，经核实验收合格再进行作业补助。对补助内容和补助标准进行公示公开。</w:t>
      </w:r>
    </w:p>
    <w:p w14:paraId="2185444E">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outlineLvl w:val="1"/>
        <w:rPr>
          <w:rFonts w:hint="default" w:ascii="Times New Roman" w:hAnsi="Times New Roman" w:eastAsia="方正楷体简体" w:cs="Times New Roman"/>
          <w:b w:val="0"/>
          <w:bCs w:val="0"/>
          <w:sz w:val="32"/>
          <w:szCs w:val="32"/>
          <w:highlight w:val="none"/>
        </w:rPr>
      </w:pPr>
      <w:r>
        <w:rPr>
          <w:rFonts w:hint="default" w:ascii="Times New Roman" w:hAnsi="Times New Roman" w:eastAsia="方正楷体简体" w:cs="Times New Roman"/>
          <w:b w:val="0"/>
          <w:bCs w:val="0"/>
          <w:sz w:val="32"/>
          <w:szCs w:val="32"/>
          <w:highlight w:val="none"/>
        </w:rPr>
        <w:t>（二）秸秆收储运体系建设</w:t>
      </w:r>
    </w:p>
    <w:p w14:paraId="2E2349A8">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在全区范围内遵循“疏堵结合”的理念，按照“政府推动、服务主体为主、小农户参与、市场运作、财政奖补”的原则，支持完善构建秸秆收储运体系，鼓励秸秆收储运站点购置秸秆收储机械，提升全区秸秆收储能力。重点支持秸秆收储作业主体购置搂草机、秸秆捡拾打捆机、穗茎兼收玉米收获机等机具。</w:t>
      </w:r>
    </w:p>
    <w:p w14:paraId="5FAC32D3">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1、济宁市兖州区来顺农机专业合作社：成立于2015年，占地面积9.6亩，现有工作人员50人、社员300户、固定资产1000余万元。经过十余年发展，已从单一农机作业服务发展为集农机作业、土地流转、良种繁育、智慧农业、粮食烘干收储、秸秆综合利用、生态养殖、农机应急保障于一体的现代农事综合服务中心。先后获评山东省农民专业合作社示范社、省级农业生产性服务示范组织、省级区域农机社会化服务中心、省级“平安农机”示范农机服务组织，入选全国“2025年区域农机社会化服务中心建设典型案例推介名单”。合作社统一经营流转土地1200亩，年社会化服务面积3万亩以上，覆盖周边多个乡镇，年经营收入超1800万元。合作社拥有大型拖拉机、穗茎兼收玉米收获机、秸秆打捆覆膜机等各类农机装备近200台套。为进一步提升秸秆收储运能力，计划总投资80万元，新购置2台穗茎兼收玉米收获机。</w:t>
      </w:r>
    </w:p>
    <w:p w14:paraId="673A9512">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2、济宁孟园现代农业发展有限公司：成立于2019年9月，注册资本200万元，是一家集秸秆收储运、农业社会化服务、高效种植于一体的现代化农业企业。公司占地面积12亩，建设钢构仓库2300平方米，为秸秆的集中收储、加工处理提供了充足的场地保障，确保了秸秆收储运体系的全年稳定运行。公司成立以来，始终将秸秆回收及综合利用作为核心发展方向，依托先进的农机装备和完善的收储运体系，在小孟镇及周边地区构建起规模化、专业化的秸秆离田利用产业链条，年收储秸秆约4万亩。回收的秸秆通过粉碎、压缩、打捆、包膜等工序加工成标准化饲料包，除供应本地及周边县市畜牧养殖基地外，产品还远销安徽、宁夏、甘肃等省份，实现了秸秆的资源化、商品化利用。为进一步提升秸秆收储运能力，计划总投资148.1万元，新购置2台圆草捆打捆机、1台圆捆打捆包膜一体机、2台圆草捆打捆包膜一体机、1台液压打包机。</w:t>
      </w:r>
    </w:p>
    <w:p w14:paraId="3163BCD7">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3、济宁市兖州区金麦农机专业合作社：2015年3月注册成立，占地面积8.2亩，全程机械化综合农事服务中心1处。合作社拥有各类农机具及配套设备80余台套，粮食烘干机组6台套，全程机械化托管土地服务面积10000余亩，年烘干粮食服务能力近10000余吨，固定资产达1000余万元。相继荣获省市级示范社、济宁市现代农机化转型升级推进工程“粮食烘干中心”、省级“平安农机”示范单位、省级农业生产性服务示范组织等称号。2021年中共济宁市委农办授予优秀农民专业合作社，2023荣获济宁市“及时雨”农业生产社会化服务品牌、国家级农民专业合作社示范社及入选中国农民专业合作社500强。为进一步提升秸秆收储运能力，计划总投资39.5万元，新购置1台穗茎兼收玉米收获机。</w:t>
      </w:r>
    </w:p>
    <w:p w14:paraId="03004BA6">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4、济宁市兖州区诚利农机专业合作社：成立于2012年，深耕乡村农业服务十余载，立足本土农田生产需求，整合农机资源、凝聚农户力量，致力于推进农业生产机械化、规模化、集约化发展。合作社业务布局完善、服务范围广泛，核心涵盖农机社会化服务</w:t>
      </w:r>
      <w:r>
        <w:rPr>
          <w:rFonts w:hint="default" w:ascii="Times New Roman" w:hAnsi="Times New Roman" w:eastAsia="方正仿宋简体" w:cs="Times New Roman"/>
          <w:b w:val="0"/>
          <w:bCs w:val="0"/>
          <w:sz w:val="32"/>
          <w:szCs w:val="32"/>
          <w:highlight w:val="none"/>
          <w:lang w:eastAsia="zh-CN"/>
        </w:rPr>
        <w:t>、</w:t>
      </w:r>
      <w:r>
        <w:rPr>
          <w:rFonts w:hint="default" w:ascii="Times New Roman" w:hAnsi="Times New Roman" w:eastAsia="方正仿宋简体" w:cs="Times New Roman"/>
          <w:b w:val="0"/>
          <w:bCs w:val="0"/>
          <w:sz w:val="32"/>
          <w:szCs w:val="32"/>
          <w:highlight w:val="none"/>
        </w:rPr>
        <w:t>农技便民服务</w:t>
      </w:r>
      <w:r>
        <w:rPr>
          <w:rFonts w:hint="default" w:ascii="Times New Roman" w:hAnsi="Times New Roman" w:eastAsia="方正仿宋简体" w:cs="Times New Roman"/>
          <w:b w:val="0"/>
          <w:bCs w:val="0"/>
          <w:sz w:val="32"/>
          <w:szCs w:val="32"/>
          <w:highlight w:val="none"/>
          <w:lang w:eastAsia="zh-CN"/>
        </w:rPr>
        <w:t>和</w:t>
      </w:r>
      <w:r>
        <w:rPr>
          <w:rFonts w:hint="default" w:ascii="Times New Roman" w:hAnsi="Times New Roman" w:eastAsia="方正仿宋简体" w:cs="Times New Roman"/>
          <w:b w:val="0"/>
          <w:bCs w:val="0"/>
          <w:sz w:val="32"/>
          <w:szCs w:val="32"/>
          <w:highlight w:val="none"/>
        </w:rPr>
        <w:t>农机配套保障。合作社</w:t>
      </w:r>
      <w:r>
        <w:rPr>
          <w:rFonts w:hint="default" w:ascii="Times New Roman" w:hAnsi="Times New Roman" w:eastAsia="方正仿宋简体" w:cs="Times New Roman"/>
          <w:b w:val="0"/>
          <w:bCs w:val="0"/>
          <w:sz w:val="32"/>
          <w:szCs w:val="32"/>
          <w:highlight w:val="none"/>
          <w:lang w:eastAsia="zh-CN"/>
        </w:rPr>
        <w:t>流转</w:t>
      </w:r>
      <w:r>
        <w:rPr>
          <w:rFonts w:hint="default" w:ascii="Times New Roman" w:hAnsi="Times New Roman" w:eastAsia="方正仿宋简体" w:cs="Times New Roman"/>
          <w:b w:val="0"/>
          <w:bCs w:val="0"/>
          <w:sz w:val="32"/>
          <w:szCs w:val="32"/>
          <w:highlight w:val="none"/>
        </w:rPr>
        <w:t>耕地1450亩，主要种植小麦、玉米、大豆，依托科学管理实现稳产增收。同时积极推广土地托管服务，现有托管土地1200亩，为周边农户提供耕、种、管、收一站式托管服务，切实降低农户种植成本与劳作压力。为进一步提升秸秆收储运能力，计划总投资</w:t>
      </w:r>
      <w:r>
        <w:rPr>
          <w:rFonts w:hint="eastAsia" w:ascii="Times New Roman" w:hAnsi="Times New Roman" w:eastAsia="方正仿宋简体" w:cs="Times New Roman"/>
          <w:b w:val="0"/>
          <w:bCs w:val="0"/>
          <w:sz w:val="32"/>
          <w:szCs w:val="32"/>
          <w:highlight w:val="none"/>
          <w:lang w:val="en-US" w:eastAsia="zh-CN"/>
        </w:rPr>
        <w:t>40</w:t>
      </w:r>
      <w:r>
        <w:rPr>
          <w:rFonts w:hint="default" w:ascii="Times New Roman" w:hAnsi="Times New Roman" w:eastAsia="方正仿宋简体" w:cs="Times New Roman"/>
          <w:b w:val="0"/>
          <w:bCs w:val="0"/>
          <w:sz w:val="32"/>
          <w:szCs w:val="32"/>
          <w:highlight w:val="none"/>
        </w:rPr>
        <w:t>万元，新购置1台穗茎兼收玉米收获机。</w:t>
      </w:r>
    </w:p>
    <w:p w14:paraId="2DAE3A92">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outlineLvl w:val="1"/>
        <w:rPr>
          <w:rFonts w:hint="default" w:ascii="Times New Roman" w:hAnsi="Times New Roman" w:eastAsia="方正楷体简体" w:cs="Times New Roman"/>
          <w:b w:val="0"/>
          <w:bCs w:val="0"/>
          <w:sz w:val="32"/>
          <w:szCs w:val="32"/>
          <w:highlight w:val="none"/>
        </w:rPr>
      </w:pPr>
      <w:r>
        <w:rPr>
          <w:rFonts w:hint="default" w:ascii="Times New Roman" w:hAnsi="Times New Roman" w:eastAsia="方正楷体简体" w:cs="Times New Roman"/>
          <w:b w:val="0"/>
          <w:bCs w:val="0"/>
          <w:sz w:val="32"/>
          <w:szCs w:val="32"/>
          <w:highlight w:val="none"/>
        </w:rPr>
        <w:t>（三）开展还田效果监测</w:t>
      </w:r>
    </w:p>
    <w:p w14:paraId="10225A83">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通过公开程序委托有关机构结合兖州种植模式，</w:t>
      </w:r>
      <w:bookmarkStart w:id="0" w:name="_Hlk233847982"/>
      <w:r>
        <w:rPr>
          <w:rFonts w:hint="default" w:ascii="Times New Roman" w:hAnsi="Times New Roman" w:eastAsia="方正仿宋简体" w:cs="Times New Roman"/>
          <w:b w:val="0"/>
          <w:bCs w:val="0"/>
          <w:sz w:val="32"/>
          <w:szCs w:val="32"/>
          <w:highlight w:val="none"/>
        </w:rPr>
        <w:t>布设还田生态效应监测点1个，连续3年开展秸秆还田效果监测与评价</w:t>
      </w:r>
      <w:bookmarkEnd w:id="0"/>
      <w:r>
        <w:rPr>
          <w:rFonts w:hint="default" w:ascii="Times New Roman" w:hAnsi="Times New Roman" w:eastAsia="方正仿宋简体" w:cs="Times New Roman"/>
          <w:b w:val="0"/>
          <w:bCs w:val="0"/>
          <w:sz w:val="32"/>
          <w:szCs w:val="32"/>
          <w:highlight w:val="none"/>
        </w:rPr>
        <w:t>。全面掌握全区小麦、玉米等主要农作物可收集秸秆资源总量和利用现状，形成秸秆资源与利用情况调查报告，为全区农作物秸秆综合利用和禁烧工作提供技术参考。</w:t>
      </w:r>
    </w:p>
    <w:p w14:paraId="742C506F">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outlineLvl w:val="1"/>
        <w:rPr>
          <w:rFonts w:hint="default" w:ascii="Times New Roman" w:hAnsi="Times New Roman" w:eastAsia="方正楷体简体" w:cs="Times New Roman"/>
          <w:b w:val="0"/>
          <w:bCs w:val="0"/>
          <w:sz w:val="32"/>
          <w:szCs w:val="32"/>
          <w:highlight w:val="none"/>
        </w:rPr>
      </w:pPr>
      <w:r>
        <w:rPr>
          <w:rFonts w:hint="default" w:ascii="Times New Roman" w:hAnsi="Times New Roman" w:eastAsia="方正楷体简体" w:cs="Times New Roman"/>
          <w:b w:val="0"/>
          <w:bCs w:val="0"/>
          <w:sz w:val="32"/>
          <w:szCs w:val="32"/>
          <w:highlight w:val="none"/>
        </w:rPr>
        <w:t>（四）秸秆综合利用技术培训宣传推广应用</w:t>
      </w:r>
    </w:p>
    <w:p w14:paraId="17851D21">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在全区范围内，深入开展秸秆综合利用技术培训，至少举办2期秸秆综合利用新技术新成果宣传培训与示范推广活动（培训班、现场会、观摩会），重点培训秋季秸秆深耕深翻还田技术规程、腐熟剂施用技术、玉米穗茎兼收和秸秆打捆离田作业规范等内容，至少培训100人次。充分利用微信公众号、新媒体，宣传兖州区秸秆科学还田典型模式和有效做法，讲好秸秆综合利用故事，营造关注、支持农作物秸秆综合利用的良好社会氛围。</w:t>
      </w:r>
    </w:p>
    <w:p w14:paraId="42C6014C">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outlineLvl w:val="1"/>
        <w:rPr>
          <w:rFonts w:hint="default" w:ascii="Times New Roman" w:hAnsi="Times New Roman" w:eastAsia="方正楷体简体" w:cs="Times New Roman"/>
          <w:b w:val="0"/>
          <w:bCs w:val="0"/>
          <w:sz w:val="32"/>
          <w:szCs w:val="32"/>
          <w:highlight w:val="none"/>
        </w:rPr>
      </w:pPr>
      <w:r>
        <w:rPr>
          <w:rFonts w:hint="default" w:ascii="Times New Roman" w:hAnsi="Times New Roman" w:eastAsia="方正楷体简体" w:cs="Times New Roman"/>
          <w:b w:val="0"/>
          <w:bCs w:val="0"/>
          <w:sz w:val="32"/>
          <w:szCs w:val="32"/>
          <w:highlight w:val="none"/>
        </w:rPr>
        <w:t>（五）加强项目全程管理</w:t>
      </w:r>
    </w:p>
    <w:p w14:paraId="7E20E346">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确保各环节公开透明，切实抓好项目组织实施和验收等。</w:t>
      </w:r>
    </w:p>
    <w:p w14:paraId="032D421E">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outlineLvl w:val="0"/>
        <w:rPr>
          <w:rFonts w:hint="default" w:ascii="Times New Roman" w:hAnsi="Times New Roman" w:eastAsia="方正黑体简体" w:cs="Times New Roman"/>
          <w:b w:val="0"/>
          <w:bCs w:val="0"/>
          <w:sz w:val="32"/>
          <w:szCs w:val="32"/>
          <w:highlight w:val="none"/>
        </w:rPr>
      </w:pPr>
      <w:r>
        <w:rPr>
          <w:rFonts w:hint="default" w:ascii="Times New Roman" w:hAnsi="Times New Roman" w:eastAsia="方正黑体简体" w:cs="Times New Roman"/>
          <w:b w:val="0"/>
          <w:bCs w:val="0"/>
          <w:sz w:val="32"/>
          <w:szCs w:val="32"/>
          <w:highlight w:val="none"/>
        </w:rPr>
        <w:t>五、项目涉及的主推技术模式</w:t>
      </w:r>
    </w:p>
    <w:p w14:paraId="0199E2DF">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outlineLvl w:val="1"/>
        <w:rPr>
          <w:rFonts w:hint="default" w:ascii="Times New Roman" w:hAnsi="Times New Roman" w:eastAsia="方正楷体简体" w:cs="Times New Roman"/>
          <w:b w:val="0"/>
          <w:bCs w:val="0"/>
          <w:sz w:val="32"/>
          <w:szCs w:val="32"/>
          <w:highlight w:val="none"/>
        </w:rPr>
      </w:pPr>
      <w:r>
        <w:rPr>
          <w:rFonts w:hint="default" w:ascii="Times New Roman" w:hAnsi="Times New Roman" w:eastAsia="方正楷体简体" w:cs="Times New Roman"/>
          <w:b w:val="0"/>
          <w:bCs w:val="0"/>
          <w:sz w:val="32"/>
          <w:szCs w:val="32"/>
          <w:highlight w:val="none"/>
        </w:rPr>
        <w:t>（一）秸秆精细化还田技术</w:t>
      </w:r>
    </w:p>
    <w:p w14:paraId="60EDA409">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兖州区秸秆精细化还田主推技术模式为“秸秆深耕翻埋还田”模式。9月下旬至10月上旬，使用配备秸秆粉碎装置的玉米联合收获机作业，秸秆粉碎长度不超过10厘米，粉碎合格率不低于</w:t>
      </w:r>
      <w:r>
        <w:rPr>
          <w:rFonts w:hint="eastAsia" w:ascii="Times New Roman" w:hAnsi="Times New Roman" w:eastAsia="方正仿宋简体" w:cs="Times New Roman"/>
          <w:b w:val="0"/>
          <w:bCs w:val="0"/>
          <w:sz w:val="32"/>
          <w:szCs w:val="32"/>
          <w:highlight w:val="none"/>
          <w:lang w:val="en-US" w:eastAsia="zh-CN"/>
        </w:rPr>
        <w:t>85</w:t>
      </w:r>
      <w:r>
        <w:rPr>
          <w:rFonts w:hint="default" w:ascii="Times New Roman" w:hAnsi="Times New Roman" w:eastAsia="方正仿宋简体" w:cs="Times New Roman"/>
          <w:b w:val="0"/>
          <w:bCs w:val="0"/>
          <w:sz w:val="32"/>
          <w:szCs w:val="32"/>
          <w:highlight w:val="none"/>
        </w:rPr>
        <w:t>%，秸秆抛撒均匀度变异系数不超过30%。为提升秸秆粉碎质量，可在玉米收获后使用秸秆粉碎还田机增加一遍秸秆粉碎还田作业。秸秆粉碎抛撒后，均匀撒施秸秆腐熟剂，用量2公斤/亩。在使用大型拖拉机（120马力以上）配套液压翻转犁进行深耕深翻，耕深不低于25厘米，秸秆翻埋深度不低于15厘米，翻埋率不低于95%。深耕后使用旋耕机进行旋耕整平，达到小麦播种整地要求适时进行小麦播种，也可直接使用高性能播种机开展小麦播种。</w:t>
      </w:r>
    </w:p>
    <w:p w14:paraId="5E7C109B">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outlineLvl w:val="1"/>
        <w:rPr>
          <w:rFonts w:hint="default" w:ascii="Times New Roman" w:hAnsi="Times New Roman" w:eastAsia="方正楷体简体" w:cs="Times New Roman"/>
          <w:b w:val="0"/>
          <w:bCs w:val="0"/>
          <w:sz w:val="32"/>
          <w:szCs w:val="32"/>
          <w:highlight w:val="none"/>
        </w:rPr>
      </w:pPr>
      <w:r>
        <w:rPr>
          <w:rFonts w:hint="default" w:ascii="Times New Roman" w:hAnsi="Times New Roman" w:eastAsia="方正楷体简体" w:cs="Times New Roman"/>
          <w:b w:val="0"/>
          <w:bCs w:val="0"/>
          <w:sz w:val="32"/>
          <w:szCs w:val="32"/>
          <w:highlight w:val="none"/>
        </w:rPr>
        <w:t>（二）玉米穗茎兼收秸秆离田技术</w:t>
      </w:r>
    </w:p>
    <w:p w14:paraId="53B58B82">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使用穗茎兼收玉米收获机一次性完成果穗、秸秆收获，要求秸秆切碎长度符合相关技术标准。保障足够的运输车跟随收获机接料，加快饲料化利用秸秆资源田间转运，可直接运至收储站点或饲料化加工场所。饲料化利用秸秆资源要按照黄贮技术标准及时加工处理，保障秸秆品质。</w:t>
      </w:r>
    </w:p>
    <w:p w14:paraId="40EE0BF0">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outlineLvl w:val="1"/>
        <w:rPr>
          <w:rFonts w:hint="default" w:ascii="Times New Roman" w:hAnsi="Times New Roman" w:eastAsia="方正楷体简体" w:cs="Times New Roman"/>
          <w:b w:val="0"/>
          <w:bCs w:val="0"/>
          <w:sz w:val="32"/>
          <w:szCs w:val="32"/>
          <w:highlight w:val="none"/>
        </w:rPr>
      </w:pPr>
      <w:r>
        <w:rPr>
          <w:rFonts w:hint="default" w:ascii="Times New Roman" w:hAnsi="Times New Roman" w:eastAsia="方正楷体简体" w:cs="Times New Roman"/>
          <w:b w:val="0"/>
          <w:bCs w:val="0"/>
          <w:sz w:val="32"/>
          <w:szCs w:val="32"/>
          <w:highlight w:val="none"/>
        </w:rPr>
        <w:t>（三）秸秆捡拾打捆离田技术</w:t>
      </w:r>
    </w:p>
    <w:p w14:paraId="1DE72BAB">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秋季农作物收获后，使用搂草机、秸秆捡拾打捆机开展秸秆离田作业，打捆后秸秆应妥善进行装运，可直接运至收储站点或生物质发电厂，不可长期在田间存放。饲料化利用秸秆和能源化利用秸秆要分区存放。</w:t>
      </w:r>
    </w:p>
    <w:p w14:paraId="7197198C">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outlineLvl w:val="0"/>
        <w:rPr>
          <w:rFonts w:hint="default" w:ascii="Times New Roman" w:hAnsi="Times New Roman" w:eastAsia="方正黑体简体" w:cs="Times New Roman"/>
          <w:b w:val="0"/>
          <w:bCs w:val="0"/>
          <w:sz w:val="32"/>
          <w:szCs w:val="32"/>
          <w:highlight w:val="none"/>
        </w:rPr>
      </w:pPr>
      <w:r>
        <w:rPr>
          <w:rFonts w:hint="default" w:ascii="Times New Roman" w:hAnsi="Times New Roman" w:eastAsia="方正黑体简体" w:cs="Times New Roman"/>
          <w:b w:val="0"/>
          <w:bCs w:val="0"/>
          <w:sz w:val="32"/>
          <w:szCs w:val="32"/>
          <w:highlight w:val="none"/>
        </w:rPr>
        <w:t>六、投资概算</w:t>
      </w:r>
    </w:p>
    <w:p w14:paraId="7D8250AE">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outlineLvl w:val="1"/>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楷体简体" w:cs="Times New Roman"/>
          <w:b w:val="0"/>
          <w:bCs w:val="0"/>
          <w:sz w:val="32"/>
          <w:szCs w:val="32"/>
          <w:highlight w:val="none"/>
        </w:rPr>
        <w:t>（一）项目资金来源</w:t>
      </w:r>
    </w:p>
    <w:p w14:paraId="2FB50094">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项目总投资</w:t>
      </w:r>
      <w:r>
        <w:rPr>
          <w:rFonts w:hint="eastAsia" w:ascii="Times New Roman" w:hAnsi="Times New Roman" w:eastAsia="方正仿宋简体" w:cs="Times New Roman"/>
          <w:b w:val="0"/>
          <w:bCs w:val="0"/>
          <w:sz w:val="32"/>
          <w:szCs w:val="32"/>
          <w:highlight w:val="none"/>
          <w:lang w:val="en-US" w:eastAsia="zh-CN"/>
        </w:rPr>
        <w:t>879.94</w:t>
      </w:r>
      <w:r>
        <w:rPr>
          <w:rFonts w:hint="default" w:ascii="Times New Roman" w:hAnsi="Times New Roman" w:eastAsia="方正仿宋简体" w:cs="Times New Roman"/>
          <w:b w:val="0"/>
          <w:bCs w:val="0"/>
          <w:sz w:val="32"/>
          <w:szCs w:val="32"/>
          <w:highlight w:val="none"/>
        </w:rPr>
        <w:t>万元。其中，财政补助资金680万元，项目实施主体自筹资金</w:t>
      </w:r>
      <w:r>
        <w:rPr>
          <w:rFonts w:hint="eastAsia" w:ascii="Times New Roman" w:hAnsi="Times New Roman" w:eastAsia="方正仿宋简体" w:cs="Times New Roman"/>
          <w:b w:val="0"/>
          <w:bCs w:val="0"/>
          <w:sz w:val="32"/>
          <w:szCs w:val="32"/>
          <w:highlight w:val="none"/>
          <w:lang w:val="en-US" w:eastAsia="zh-CN"/>
        </w:rPr>
        <w:t>199.94</w:t>
      </w:r>
      <w:r>
        <w:rPr>
          <w:rFonts w:hint="default" w:ascii="Times New Roman" w:hAnsi="Times New Roman" w:eastAsia="方正仿宋简体" w:cs="Times New Roman"/>
          <w:b w:val="0"/>
          <w:bCs w:val="0"/>
          <w:sz w:val="32"/>
          <w:szCs w:val="32"/>
          <w:highlight w:val="none"/>
        </w:rPr>
        <w:t>万元。财政补助资金主要用于秸秆综合利用作业补助和关键机具购置补贴，未用于基础设施建设，项目资金严格按照“先建后补”方式拨付。项目实施主体完成建设内容后，经镇（街）初审、区级验收、公示无异议后拨付补助和补贴资金。</w:t>
      </w:r>
    </w:p>
    <w:p w14:paraId="35995C67">
      <w:pPr>
        <w:pBdr>
          <w:top w:val="none" w:color="000000" w:sz="0" w:space="0"/>
          <w:left w:val="none" w:color="000000" w:sz="0" w:space="0"/>
          <w:bottom w:val="none" w:color="000000" w:sz="0" w:space="21"/>
          <w:right w:val="none" w:color="000000" w:sz="0" w:space="10"/>
        </w:pBdr>
        <w:adjustRightInd w:val="0"/>
        <w:snapToGrid w:val="0"/>
        <w:spacing w:line="580" w:lineRule="exact"/>
        <w:contextualSpacing/>
        <w:jc w:val="center"/>
        <w:rPr>
          <w:rFonts w:hint="default" w:ascii="Times New Roman" w:hAnsi="Times New Roman" w:eastAsia="方正楷体简体" w:cs="Times New Roman"/>
          <w:b w:val="0"/>
          <w:bCs w:val="0"/>
          <w:sz w:val="32"/>
          <w:szCs w:val="32"/>
          <w:highlight w:val="none"/>
        </w:rPr>
      </w:pPr>
      <w:r>
        <w:rPr>
          <w:rFonts w:hint="default" w:ascii="Times New Roman" w:hAnsi="Times New Roman" w:eastAsia="方正楷体简体" w:cs="Times New Roman"/>
          <w:b w:val="0"/>
          <w:bCs w:val="0"/>
          <w:sz w:val="32"/>
          <w:szCs w:val="32"/>
          <w:highlight w:val="none"/>
        </w:rPr>
        <w:t>项目资金来源表</w:t>
      </w:r>
    </w:p>
    <w:tbl>
      <w:tblPr>
        <w:tblStyle w:val="8"/>
        <w:tblW w:w="835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189"/>
        <w:gridCol w:w="2063"/>
        <w:gridCol w:w="2208"/>
        <w:gridCol w:w="1898"/>
      </w:tblGrid>
      <w:tr w14:paraId="30D9B3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5" w:hRule="atLeast"/>
          <w:jc w:val="center"/>
        </w:trPr>
        <w:tc>
          <w:tcPr>
            <w:tcW w:w="2189" w:type="dxa"/>
            <w:vAlign w:val="center"/>
          </w:tcPr>
          <w:p w14:paraId="0DAA3826">
            <w:pPr>
              <w:widowControl/>
              <w:spacing w:line="320" w:lineRule="exact"/>
              <w:jc w:val="center"/>
              <w:rPr>
                <w:rFonts w:hint="default" w:ascii="Times New Roman" w:hAnsi="Times New Roman" w:eastAsia="方正黑体简体" w:cs="Times New Roman"/>
                <w:b w:val="0"/>
                <w:bCs w:val="0"/>
                <w:kern w:val="0"/>
                <w:sz w:val="28"/>
                <w:szCs w:val="28"/>
                <w:highlight w:val="none"/>
                <w:lang w:bidi="ar"/>
              </w:rPr>
            </w:pPr>
            <w:r>
              <w:rPr>
                <w:rFonts w:hint="default" w:ascii="Times New Roman" w:hAnsi="Times New Roman" w:eastAsia="方正黑体简体" w:cs="Times New Roman"/>
                <w:b w:val="0"/>
                <w:bCs w:val="0"/>
                <w:kern w:val="0"/>
                <w:sz w:val="28"/>
                <w:szCs w:val="28"/>
                <w:highlight w:val="none"/>
                <w:lang w:bidi="ar"/>
              </w:rPr>
              <w:t>项目总投资</w:t>
            </w:r>
          </w:p>
        </w:tc>
        <w:tc>
          <w:tcPr>
            <w:tcW w:w="2063" w:type="dxa"/>
            <w:vAlign w:val="center"/>
          </w:tcPr>
          <w:p w14:paraId="780FF1DB">
            <w:pPr>
              <w:widowControl/>
              <w:spacing w:line="320" w:lineRule="exact"/>
              <w:jc w:val="center"/>
              <w:rPr>
                <w:rFonts w:hint="default" w:ascii="Times New Roman" w:hAnsi="Times New Roman" w:eastAsia="方正黑体简体" w:cs="Times New Roman"/>
                <w:b w:val="0"/>
                <w:bCs w:val="0"/>
                <w:kern w:val="0"/>
                <w:sz w:val="28"/>
                <w:szCs w:val="28"/>
                <w:highlight w:val="none"/>
                <w:lang w:bidi="ar"/>
              </w:rPr>
            </w:pPr>
            <w:r>
              <w:rPr>
                <w:rFonts w:hint="default" w:ascii="Times New Roman" w:hAnsi="Times New Roman" w:eastAsia="方正黑体简体" w:cs="Times New Roman"/>
                <w:b w:val="0"/>
                <w:bCs w:val="0"/>
                <w:kern w:val="0"/>
                <w:sz w:val="28"/>
                <w:szCs w:val="28"/>
                <w:highlight w:val="none"/>
                <w:lang w:bidi="ar"/>
              </w:rPr>
              <w:t>财政资金</w:t>
            </w:r>
          </w:p>
        </w:tc>
        <w:tc>
          <w:tcPr>
            <w:tcW w:w="2208" w:type="dxa"/>
            <w:vAlign w:val="center"/>
          </w:tcPr>
          <w:p w14:paraId="681B3865">
            <w:pPr>
              <w:widowControl/>
              <w:spacing w:line="320" w:lineRule="exact"/>
              <w:jc w:val="center"/>
              <w:rPr>
                <w:rFonts w:hint="default" w:ascii="Times New Roman" w:hAnsi="Times New Roman" w:eastAsia="方正黑体简体" w:cs="Times New Roman"/>
                <w:b w:val="0"/>
                <w:bCs w:val="0"/>
                <w:kern w:val="0"/>
                <w:sz w:val="28"/>
                <w:szCs w:val="28"/>
                <w:highlight w:val="none"/>
                <w:lang w:bidi="ar"/>
              </w:rPr>
            </w:pPr>
            <w:r>
              <w:rPr>
                <w:rFonts w:hint="default" w:ascii="Times New Roman" w:hAnsi="Times New Roman" w:eastAsia="方正黑体简体" w:cs="Times New Roman"/>
                <w:b w:val="0"/>
                <w:bCs w:val="0"/>
                <w:kern w:val="0"/>
                <w:sz w:val="28"/>
                <w:szCs w:val="28"/>
                <w:highlight w:val="none"/>
                <w:lang w:bidi="ar"/>
              </w:rPr>
              <w:t>自筹资金</w:t>
            </w:r>
          </w:p>
        </w:tc>
        <w:tc>
          <w:tcPr>
            <w:tcW w:w="1898" w:type="dxa"/>
            <w:vAlign w:val="center"/>
          </w:tcPr>
          <w:p w14:paraId="6C36541B">
            <w:pPr>
              <w:widowControl/>
              <w:spacing w:line="320" w:lineRule="exact"/>
              <w:jc w:val="center"/>
              <w:rPr>
                <w:rFonts w:hint="default" w:ascii="Times New Roman" w:hAnsi="Times New Roman" w:eastAsia="方正黑体简体" w:cs="Times New Roman"/>
                <w:b w:val="0"/>
                <w:bCs w:val="0"/>
                <w:kern w:val="0"/>
                <w:sz w:val="28"/>
                <w:szCs w:val="28"/>
                <w:highlight w:val="none"/>
                <w:lang w:bidi="ar"/>
              </w:rPr>
            </w:pPr>
            <w:r>
              <w:rPr>
                <w:rFonts w:hint="default" w:ascii="Times New Roman" w:hAnsi="Times New Roman" w:eastAsia="方正黑体简体" w:cs="Times New Roman"/>
                <w:b w:val="0"/>
                <w:bCs w:val="0"/>
                <w:kern w:val="0"/>
                <w:sz w:val="28"/>
                <w:szCs w:val="28"/>
                <w:highlight w:val="none"/>
                <w:lang w:bidi="ar"/>
              </w:rPr>
              <w:t>财政资金占</w:t>
            </w:r>
          </w:p>
          <w:p w14:paraId="70FF5190">
            <w:pPr>
              <w:widowControl/>
              <w:spacing w:line="320" w:lineRule="exact"/>
              <w:jc w:val="center"/>
              <w:rPr>
                <w:rFonts w:hint="default" w:ascii="Times New Roman" w:hAnsi="Times New Roman" w:eastAsia="方正黑体简体" w:cs="Times New Roman"/>
                <w:b w:val="0"/>
                <w:bCs w:val="0"/>
                <w:kern w:val="0"/>
                <w:sz w:val="28"/>
                <w:szCs w:val="28"/>
                <w:highlight w:val="none"/>
                <w:lang w:bidi="ar"/>
              </w:rPr>
            </w:pPr>
            <w:r>
              <w:rPr>
                <w:rFonts w:hint="default" w:ascii="Times New Roman" w:hAnsi="Times New Roman" w:eastAsia="方正黑体简体" w:cs="Times New Roman"/>
                <w:b w:val="0"/>
                <w:bCs w:val="0"/>
                <w:kern w:val="0"/>
                <w:sz w:val="28"/>
                <w:szCs w:val="28"/>
                <w:highlight w:val="none"/>
                <w:lang w:bidi="ar"/>
              </w:rPr>
              <w:t>总投资比例</w:t>
            </w:r>
          </w:p>
        </w:tc>
      </w:tr>
      <w:tr w14:paraId="5765AF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5" w:hRule="atLeast"/>
          <w:jc w:val="center"/>
        </w:trPr>
        <w:tc>
          <w:tcPr>
            <w:tcW w:w="2189" w:type="dxa"/>
            <w:vAlign w:val="center"/>
          </w:tcPr>
          <w:p w14:paraId="2C394FB9">
            <w:pPr>
              <w:jc w:val="center"/>
              <w:rPr>
                <w:rFonts w:hint="default" w:ascii="Times New Roman" w:hAnsi="Times New Roman" w:eastAsia="方正仿宋简体" w:cs="Times New Roman"/>
                <w:b w:val="0"/>
                <w:bCs w:val="0"/>
                <w:sz w:val="28"/>
                <w:szCs w:val="24"/>
                <w:highlight w:val="none"/>
              </w:rPr>
            </w:pPr>
            <w:r>
              <w:rPr>
                <w:rFonts w:hint="eastAsia" w:ascii="Times New Roman" w:hAnsi="Times New Roman" w:eastAsia="方正仿宋简体" w:cs="Times New Roman"/>
                <w:b w:val="0"/>
                <w:bCs w:val="0"/>
                <w:sz w:val="28"/>
                <w:szCs w:val="24"/>
                <w:highlight w:val="none"/>
                <w:lang w:val="en-US" w:eastAsia="zh-CN"/>
              </w:rPr>
              <w:t>879.94</w:t>
            </w:r>
            <w:r>
              <w:rPr>
                <w:rFonts w:hint="default" w:ascii="Times New Roman" w:hAnsi="Times New Roman" w:eastAsia="方正仿宋简体" w:cs="Times New Roman"/>
                <w:b w:val="0"/>
                <w:bCs w:val="0"/>
                <w:sz w:val="28"/>
                <w:szCs w:val="24"/>
                <w:highlight w:val="none"/>
              </w:rPr>
              <w:t>万元</w:t>
            </w:r>
          </w:p>
        </w:tc>
        <w:tc>
          <w:tcPr>
            <w:tcW w:w="2063" w:type="dxa"/>
            <w:vAlign w:val="center"/>
          </w:tcPr>
          <w:p w14:paraId="3AC3ABD1">
            <w:pPr>
              <w:jc w:val="center"/>
              <w:rPr>
                <w:rFonts w:hint="default" w:ascii="Times New Roman" w:hAnsi="Times New Roman" w:eastAsia="方正仿宋简体" w:cs="Times New Roman"/>
                <w:b w:val="0"/>
                <w:bCs w:val="0"/>
                <w:sz w:val="28"/>
                <w:szCs w:val="24"/>
                <w:highlight w:val="none"/>
              </w:rPr>
            </w:pPr>
            <w:r>
              <w:rPr>
                <w:rFonts w:hint="default" w:ascii="Times New Roman" w:hAnsi="Times New Roman" w:eastAsia="方正仿宋简体" w:cs="Times New Roman"/>
                <w:b w:val="0"/>
                <w:bCs w:val="0"/>
                <w:sz w:val="28"/>
                <w:szCs w:val="24"/>
                <w:highlight w:val="none"/>
              </w:rPr>
              <w:t>680万元</w:t>
            </w:r>
          </w:p>
        </w:tc>
        <w:tc>
          <w:tcPr>
            <w:tcW w:w="2208" w:type="dxa"/>
            <w:vAlign w:val="center"/>
          </w:tcPr>
          <w:p w14:paraId="3DA2E8C2">
            <w:pPr>
              <w:jc w:val="center"/>
              <w:rPr>
                <w:rFonts w:hint="default" w:ascii="Times New Roman" w:hAnsi="Times New Roman" w:eastAsia="方正仿宋简体" w:cs="Times New Roman"/>
                <w:b w:val="0"/>
                <w:bCs w:val="0"/>
                <w:sz w:val="28"/>
                <w:szCs w:val="24"/>
                <w:highlight w:val="none"/>
              </w:rPr>
            </w:pPr>
            <w:r>
              <w:rPr>
                <w:rFonts w:hint="eastAsia" w:ascii="Times New Roman" w:hAnsi="Times New Roman" w:eastAsia="方正仿宋简体" w:cs="Times New Roman"/>
                <w:b w:val="0"/>
                <w:bCs w:val="0"/>
                <w:sz w:val="28"/>
                <w:szCs w:val="24"/>
                <w:highlight w:val="none"/>
                <w:lang w:val="en-US" w:eastAsia="zh-CN"/>
              </w:rPr>
              <w:t>199.94</w:t>
            </w:r>
            <w:r>
              <w:rPr>
                <w:rFonts w:hint="default" w:ascii="Times New Roman" w:hAnsi="Times New Roman" w:eastAsia="方正仿宋简体" w:cs="Times New Roman"/>
                <w:b w:val="0"/>
                <w:bCs w:val="0"/>
                <w:sz w:val="28"/>
                <w:szCs w:val="24"/>
                <w:highlight w:val="none"/>
              </w:rPr>
              <w:t>万元</w:t>
            </w:r>
          </w:p>
        </w:tc>
        <w:tc>
          <w:tcPr>
            <w:tcW w:w="1898" w:type="dxa"/>
            <w:vAlign w:val="center"/>
          </w:tcPr>
          <w:p w14:paraId="5B6D2167">
            <w:pPr>
              <w:jc w:val="center"/>
              <w:rPr>
                <w:rFonts w:hint="default" w:ascii="Times New Roman" w:hAnsi="Times New Roman" w:eastAsia="方正仿宋简体" w:cs="Times New Roman"/>
                <w:b w:val="0"/>
                <w:bCs w:val="0"/>
                <w:sz w:val="28"/>
                <w:szCs w:val="24"/>
                <w:highlight w:val="none"/>
              </w:rPr>
            </w:pPr>
            <w:r>
              <w:rPr>
                <w:rFonts w:hint="eastAsia" w:ascii="Times New Roman" w:hAnsi="Times New Roman" w:eastAsia="方正仿宋简体" w:cs="Times New Roman"/>
                <w:b w:val="0"/>
                <w:bCs w:val="0"/>
                <w:sz w:val="28"/>
                <w:szCs w:val="24"/>
                <w:highlight w:val="none"/>
                <w:lang w:val="en-US" w:eastAsia="zh-CN"/>
              </w:rPr>
              <w:t>77.3</w:t>
            </w:r>
            <w:r>
              <w:rPr>
                <w:rFonts w:hint="default" w:ascii="Times New Roman" w:hAnsi="Times New Roman" w:eastAsia="方正仿宋简体" w:cs="Times New Roman"/>
                <w:b w:val="0"/>
                <w:bCs w:val="0"/>
                <w:sz w:val="28"/>
                <w:szCs w:val="24"/>
                <w:highlight w:val="none"/>
              </w:rPr>
              <w:t>%</w:t>
            </w:r>
          </w:p>
        </w:tc>
      </w:tr>
    </w:tbl>
    <w:p w14:paraId="2A8AA3C1">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outlineLvl w:val="1"/>
        <w:rPr>
          <w:rFonts w:hint="default" w:ascii="Times New Roman" w:hAnsi="Times New Roman" w:eastAsia="方正楷体简体" w:cs="Times New Roman"/>
          <w:b w:val="0"/>
          <w:bCs w:val="0"/>
          <w:sz w:val="32"/>
          <w:szCs w:val="32"/>
          <w:highlight w:val="none"/>
        </w:rPr>
      </w:pPr>
      <w:r>
        <w:rPr>
          <w:rFonts w:hint="default" w:ascii="Times New Roman" w:hAnsi="Times New Roman" w:eastAsia="方正楷体简体" w:cs="Times New Roman"/>
          <w:b w:val="0"/>
          <w:bCs w:val="0"/>
          <w:sz w:val="32"/>
          <w:szCs w:val="32"/>
          <w:highlight w:val="none"/>
        </w:rPr>
        <w:t>（二）补贴对象和补贴标准</w:t>
      </w:r>
    </w:p>
    <w:p w14:paraId="33903DD3">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1、补贴对象：参与秸秆综合利用的农民专业合作社、农业社会化服务组织和规模化收储利用市场主体等。通过遴选，各镇（街）推荐了19家项目实施主体。</w:t>
      </w:r>
    </w:p>
    <w:p w14:paraId="42A17A40">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楷体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2、补贴标准：秸秆精细化还田作业环节，撒施秸秆腐熟剂、深耕深翻作业按80元/亩标准补助（含秸秆腐熟剂购置和撒施费用，统一政府采购）。玉米穗茎兼收作业按80元/亩标准补助。秸秆捡拾打捆作业按25元/亩标准补助。购买秸秆综合利用设备，享受补贴比例不高于投入资金的35%。享受农机补贴等其他中央补贴政策的，不重复补贴。</w:t>
      </w:r>
    </w:p>
    <w:p w14:paraId="3D848526">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outlineLvl w:val="1"/>
        <w:rPr>
          <w:rFonts w:hint="default" w:ascii="Times New Roman" w:hAnsi="Times New Roman" w:eastAsia="方正楷体简体" w:cs="Times New Roman"/>
          <w:b w:val="0"/>
          <w:bCs w:val="0"/>
          <w:sz w:val="32"/>
          <w:szCs w:val="32"/>
          <w:highlight w:val="none"/>
        </w:rPr>
      </w:pPr>
      <w:r>
        <w:rPr>
          <w:rFonts w:hint="default" w:ascii="Times New Roman" w:hAnsi="Times New Roman" w:eastAsia="方正楷体简体" w:cs="Times New Roman"/>
          <w:b w:val="0"/>
          <w:bCs w:val="0"/>
          <w:sz w:val="32"/>
          <w:szCs w:val="32"/>
          <w:highlight w:val="none"/>
        </w:rPr>
        <w:t>（三）各分项投资明细</w:t>
      </w:r>
    </w:p>
    <w:tbl>
      <w:tblPr>
        <w:tblStyle w:val="8"/>
        <w:tblW w:w="90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3"/>
        <w:gridCol w:w="2500"/>
        <w:gridCol w:w="2021"/>
        <w:gridCol w:w="1937"/>
        <w:gridCol w:w="1483"/>
      </w:tblGrid>
      <w:tr w14:paraId="54CE0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blHeader/>
          <w:jc w:val="center"/>
        </w:trPr>
        <w:tc>
          <w:tcPr>
            <w:tcW w:w="1063" w:type="dxa"/>
            <w:vAlign w:val="center"/>
          </w:tcPr>
          <w:p w14:paraId="7D27F53E">
            <w:pPr>
              <w:widowControl/>
              <w:spacing w:line="320" w:lineRule="exact"/>
              <w:jc w:val="center"/>
              <w:rPr>
                <w:rFonts w:hint="default" w:ascii="Times New Roman" w:hAnsi="Times New Roman" w:eastAsia="方正黑体简体" w:cs="Times New Roman"/>
                <w:b w:val="0"/>
                <w:bCs w:val="0"/>
                <w:sz w:val="24"/>
                <w:szCs w:val="24"/>
                <w:highlight w:val="none"/>
              </w:rPr>
            </w:pPr>
            <w:r>
              <w:rPr>
                <w:rFonts w:hint="default" w:ascii="Times New Roman" w:hAnsi="Times New Roman" w:eastAsia="方正黑体简体" w:cs="Times New Roman"/>
                <w:b w:val="0"/>
                <w:bCs w:val="0"/>
                <w:kern w:val="0"/>
                <w:sz w:val="28"/>
                <w:szCs w:val="28"/>
                <w:highlight w:val="none"/>
                <w:lang w:bidi="ar"/>
              </w:rPr>
              <w:t>序号</w:t>
            </w:r>
          </w:p>
        </w:tc>
        <w:tc>
          <w:tcPr>
            <w:tcW w:w="2500" w:type="dxa"/>
            <w:vAlign w:val="center"/>
          </w:tcPr>
          <w:p w14:paraId="32D67154">
            <w:pPr>
              <w:widowControl/>
              <w:spacing w:line="320" w:lineRule="exact"/>
              <w:jc w:val="center"/>
              <w:rPr>
                <w:rFonts w:hint="default" w:ascii="Times New Roman" w:hAnsi="Times New Roman" w:eastAsia="方正黑体简体" w:cs="Times New Roman"/>
                <w:b w:val="0"/>
                <w:bCs w:val="0"/>
                <w:sz w:val="24"/>
                <w:szCs w:val="24"/>
                <w:highlight w:val="none"/>
              </w:rPr>
            </w:pPr>
            <w:r>
              <w:rPr>
                <w:rFonts w:hint="default" w:ascii="Times New Roman" w:hAnsi="Times New Roman" w:eastAsia="方正黑体简体" w:cs="Times New Roman"/>
                <w:b w:val="0"/>
                <w:bCs w:val="0"/>
                <w:kern w:val="0"/>
                <w:sz w:val="28"/>
                <w:szCs w:val="28"/>
                <w:highlight w:val="none"/>
                <w:lang w:bidi="ar"/>
              </w:rPr>
              <w:t>建设内容</w:t>
            </w:r>
          </w:p>
        </w:tc>
        <w:tc>
          <w:tcPr>
            <w:tcW w:w="2021" w:type="dxa"/>
            <w:vAlign w:val="center"/>
          </w:tcPr>
          <w:p w14:paraId="76B28763">
            <w:pPr>
              <w:widowControl/>
              <w:spacing w:line="320" w:lineRule="exact"/>
              <w:jc w:val="center"/>
              <w:rPr>
                <w:rFonts w:hint="default" w:ascii="Times New Roman" w:hAnsi="Times New Roman" w:eastAsia="方正黑体简体" w:cs="Times New Roman"/>
                <w:b w:val="0"/>
                <w:bCs w:val="0"/>
                <w:sz w:val="24"/>
                <w:szCs w:val="24"/>
                <w:highlight w:val="none"/>
              </w:rPr>
            </w:pPr>
            <w:r>
              <w:rPr>
                <w:rFonts w:hint="default" w:ascii="Times New Roman" w:hAnsi="Times New Roman" w:eastAsia="方正黑体简体" w:cs="Times New Roman"/>
                <w:b w:val="0"/>
                <w:bCs w:val="0"/>
                <w:kern w:val="0"/>
                <w:sz w:val="28"/>
                <w:szCs w:val="28"/>
                <w:highlight w:val="none"/>
                <w:lang w:bidi="ar"/>
              </w:rPr>
              <w:t>中央补助资金（万元）</w:t>
            </w:r>
          </w:p>
        </w:tc>
        <w:tc>
          <w:tcPr>
            <w:tcW w:w="1937" w:type="dxa"/>
            <w:vAlign w:val="center"/>
          </w:tcPr>
          <w:p w14:paraId="36EA50DA">
            <w:pPr>
              <w:widowControl/>
              <w:spacing w:line="320" w:lineRule="exact"/>
              <w:jc w:val="center"/>
              <w:rPr>
                <w:rFonts w:hint="default" w:ascii="Times New Roman" w:hAnsi="Times New Roman" w:eastAsia="方正黑体简体" w:cs="Times New Roman"/>
                <w:b w:val="0"/>
                <w:bCs w:val="0"/>
                <w:sz w:val="24"/>
                <w:szCs w:val="24"/>
                <w:highlight w:val="none"/>
              </w:rPr>
            </w:pPr>
            <w:r>
              <w:rPr>
                <w:rFonts w:hint="default" w:ascii="Times New Roman" w:hAnsi="Times New Roman" w:eastAsia="方正黑体简体" w:cs="Times New Roman"/>
                <w:b w:val="0"/>
                <w:bCs w:val="0"/>
                <w:kern w:val="0"/>
                <w:sz w:val="28"/>
                <w:szCs w:val="28"/>
                <w:highlight w:val="none"/>
                <w:lang w:bidi="ar"/>
              </w:rPr>
              <w:t>实施主体自筹资金（万元）</w:t>
            </w:r>
          </w:p>
        </w:tc>
        <w:tc>
          <w:tcPr>
            <w:tcW w:w="1483" w:type="dxa"/>
            <w:vAlign w:val="center"/>
          </w:tcPr>
          <w:p w14:paraId="0BA4060B">
            <w:pPr>
              <w:widowControl/>
              <w:spacing w:line="320" w:lineRule="exact"/>
              <w:jc w:val="center"/>
              <w:rPr>
                <w:rFonts w:hint="default" w:ascii="Times New Roman" w:hAnsi="Times New Roman" w:eastAsia="方正黑体简体" w:cs="Times New Roman"/>
                <w:b w:val="0"/>
                <w:bCs w:val="0"/>
                <w:kern w:val="0"/>
                <w:sz w:val="28"/>
                <w:szCs w:val="28"/>
                <w:highlight w:val="none"/>
                <w:lang w:bidi="ar"/>
              </w:rPr>
            </w:pPr>
            <w:r>
              <w:rPr>
                <w:rFonts w:hint="default" w:ascii="Times New Roman" w:hAnsi="Times New Roman" w:eastAsia="方正黑体简体" w:cs="Times New Roman"/>
                <w:b w:val="0"/>
                <w:bCs w:val="0"/>
                <w:kern w:val="0"/>
                <w:sz w:val="28"/>
                <w:szCs w:val="28"/>
                <w:highlight w:val="none"/>
                <w:lang w:bidi="ar"/>
              </w:rPr>
              <w:t>合计</w:t>
            </w:r>
          </w:p>
          <w:p w14:paraId="773D662E">
            <w:pPr>
              <w:widowControl/>
              <w:spacing w:line="320" w:lineRule="exact"/>
              <w:jc w:val="center"/>
              <w:rPr>
                <w:rFonts w:hint="default" w:ascii="Times New Roman" w:hAnsi="Times New Roman" w:eastAsia="方正黑体简体" w:cs="Times New Roman"/>
                <w:b w:val="0"/>
                <w:bCs w:val="0"/>
                <w:sz w:val="24"/>
                <w:szCs w:val="24"/>
                <w:highlight w:val="none"/>
              </w:rPr>
            </w:pPr>
            <w:r>
              <w:rPr>
                <w:rFonts w:hint="default" w:ascii="Times New Roman" w:hAnsi="Times New Roman" w:eastAsia="方正黑体简体" w:cs="Times New Roman"/>
                <w:b w:val="0"/>
                <w:bCs w:val="0"/>
                <w:kern w:val="0"/>
                <w:sz w:val="28"/>
                <w:szCs w:val="28"/>
                <w:highlight w:val="none"/>
                <w:lang w:bidi="ar"/>
              </w:rPr>
              <w:t>（万元）</w:t>
            </w:r>
          </w:p>
        </w:tc>
      </w:tr>
      <w:tr w14:paraId="6E0EE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jc w:val="center"/>
        </w:trPr>
        <w:tc>
          <w:tcPr>
            <w:tcW w:w="1063" w:type="dxa"/>
            <w:tcBorders>
              <w:tl2br w:val="nil"/>
              <w:tr2bl w:val="nil"/>
            </w:tcBorders>
            <w:vAlign w:val="center"/>
          </w:tcPr>
          <w:p w14:paraId="6EFB1565">
            <w:pPr>
              <w:widowControl/>
              <w:spacing w:line="320" w:lineRule="exact"/>
              <w:jc w:val="center"/>
              <w:rPr>
                <w:rFonts w:hint="default" w:ascii="Times New Roman" w:hAnsi="Times New Roman" w:eastAsia="方正仿宋简体" w:cs="Times New Roman"/>
                <w:b w:val="0"/>
                <w:bCs w:val="0"/>
                <w:sz w:val="24"/>
                <w:szCs w:val="24"/>
                <w:highlight w:val="none"/>
              </w:rPr>
            </w:pPr>
            <w:r>
              <w:rPr>
                <w:rFonts w:hint="default" w:ascii="Times New Roman" w:hAnsi="Times New Roman" w:eastAsia="方正仿宋简体" w:cs="Times New Roman"/>
                <w:b w:val="0"/>
                <w:bCs w:val="0"/>
                <w:kern w:val="0"/>
                <w:sz w:val="28"/>
                <w:szCs w:val="28"/>
                <w:highlight w:val="none"/>
                <w:lang w:bidi="ar"/>
              </w:rPr>
              <w:t>1</w:t>
            </w:r>
          </w:p>
        </w:tc>
        <w:tc>
          <w:tcPr>
            <w:tcW w:w="2500" w:type="dxa"/>
            <w:tcBorders>
              <w:tl2br w:val="nil"/>
              <w:tr2bl w:val="nil"/>
            </w:tcBorders>
            <w:vAlign w:val="center"/>
          </w:tcPr>
          <w:p w14:paraId="5CE30B0E">
            <w:pPr>
              <w:widowControl/>
              <w:spacing w:line="320" w:lineRule="exact"/>
              <w:jc w:val="center"/>
              <w:rPr>
                <w:rFonts w:hint="default" w:ascii="Times New Roman" w:hAnsi="Times New Roman" w:eastAsia="方正仿宋简体" w:cs="Times New Roman"/>
                <w:b w:val="0"/>
                <w:bCs w:val="0"/>
                <w:sz w:val="24"/>
                <w:szCs w:val="24"/>
                <w:highlight w:val="none"/>
              </w:rPr>
            </w:pPr>
            <w:r>
              <w:rPr>
                <w:rFonts w:hint="default" w:ascii="Times New Roman" w:hAnsi="Times New Roman" w:eastAsia="方正仿宋简体" w:cs="Times New Roman"/>
                <w:b w:val="0"/>
                <w:bCs w:val="0"/>
                <w:kern w:val="0"/>
                <w:sz w:val="28"/>
                <w:szCs w:val="28"/>
                <w:highlight w:val="none"/>
                <w:lang w:bidi="ar"/>
              </w:rPr>
              <w:t>秸秆精细化还田（深耕深翻+腐熟剂撒施作业补贴）</w:t>
            </w:r>
          </w:p>
        </w:tc>
        <w:tc>
          <w:tcPr>
            <w:tcW w:w="2021" w:type="dxa"/>
            <w:tcBorders>
              <w:tl2br w:val="nil"/>
              <w:tr2bl w:val="nil"/>
            </w:tcBorders>
            <w:vAlign w:val="center"/>
          </w:tcPr>
          <w:p w14:paraId="21ED7D94">
            <w:pPr>
              <w:widowControl/>
              <w:spacing w:line="320" w:lineRule="exact"/>
              <w:jc w:val="center"/>
              <w:rPr>
                <w:rFonts w:hint="default" w:ascii="Times New Roman" w:hAnsi="Times New Roman" w:eastAsia="方正仿宋简体" w:cs="Times New Roman"/>
                <w:b w:val="0"/>
                <w:bCs w:val="0"/>
                <w:sz w:val="28"/>
                <w:szCs w:val="28"/>
                <w:highlight w:val="none"/>
              </w:rPr>
            </w:pPr>
            <w:r>
              <w:rPr>
                <w:rFonts w:hint="default" w:ascii="Times New Roman" w:hAnsi="Times New Roman" w:eastAsia="方正仿宋简体" w:cs="Times New Roman"/>
                <w:b w:val="0"/>
                <w:bCs w:val="0"/>
                <w:kern w:val="0"/>
                <w:sz w:val="28"/>
                <w:szCs w:val="28"/>
                <w:highlight w:val="none"/>
                <w:lang w:bidi="ar"/>
              </w:rPr>
              <w:t>320</w:t>
            </w:r>
          </w:p>
        </w:tc>
        <w:tc>
          <w:tcPr>
            <w:tcW w:w="1937" w:type="dxa"/>
            <w:tcBorders>
              <w:tl2br w:val="nil"/>
              <w:tr2bl w:val="nil"/>
            </w:tcBorders>
            <w:vAlign w:val="center"/>
          </w:tcPr>
          <w:p w14:paraId="69A04BB4">
            <w:pPr>
              <w:widowControl/>
              <w:spacing w:line="320" w:lineRule="exact"/>
              <w:jc w:val="center"/>
              <w:rPr>
                <w:rFonts w:hint="default" w:ascii="Times New Roman" w:hAnsi="Times New Roman" w:eastAsia="方正仿宋简体" w:cs="Times New Roman"/>
                <w:b w:val="0"/>
                <w:bCs w:val="0"/>
                <w:sz w:val="28"/>
                <w:szCs w:val="28"/>
                <w:highlight w:val="none"/>
              </w:rPr>
            </w:pPr>
            <w:r>
              <w:rPr>
                <w:rFonts w:hint="default" w:ascii="Times New Roman" w:hAnsi="Times New Roman" w:eastAsia="方正仿宋简体" w:cs="Times New Roman"/>
                <w:b w:val="0"/>
                <w:bCs w:val="0"/>
                <w:kern w:val="0"/>
                <w:sz w:val="28"/>
                <w:szCs w:val="28"/>
                <w:highlight w:val="none"/>
                <w:lang w:bidi="ar"/>
              </w:rPr>
              <w:t>0</w:t>
            </w:r>
          </w:p>
        </w:tc>
        <w:tc>
          <w:tcPr>
            <w:tcW w:w="1483" w:type="dxa"/>
            <w:tcBorders>
              <w:tl2br w:val="nil"/>
              <w:tr2bl w:val="nil"/>
            </w:tcBorders>
            <w:vAlign w:val="center"/>
          </w:tcPr>
          <w:p w14:paraId="47E659A2">
            <w:pPr>
              <w:widowControl/>
              <w:spacing w:line="320" w:lineRule="exact"/>
              <w:jc w:val="center"/>
              <w:rPr>
                <w:rFonts w:hint="default" w:ascii="Times New Roman" w:hAnsi="Times New Roman" w:eastAsia="方正仿宋简体" w:cs="Times New Roman"/>
                <w:b w:val="0"/>
                <w:bCs w:val="0"/>
                <w:sz w:val="28"/>
                <w:szCs w:val="28"/>
                <w:highlight w:val="none"/>
              </w:rPr>
            </w:pPr>
            <w:r>
              <w:rPr>
                <w:rFonts w:hint="default" w:ascii="Times New Roman" w:hAnsi="Times New Roman" w:eastAsia="方正仿宋简体" w:cs="Times New Roman"/>
                <w:b w:val="0"/>
                <w:bCs w:val="0"/>
                <w:sz w:val="28"/>
                <w:szCs w:val="28"/>
                <w:highlight w:val="none"/>
              </w:rPr>
              <w:t>320</w:t>
            </w:r>
          </w:p>
        </w:tc>
      </w:tr>
      <w:tr w14:paraId="63936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063" w:type="dxa"/>
            <w:tcBorders>
              <w:tl2br w:val="nil"/>
              <w:tr2bl w:val="nil"/>
            </w:tcBorders>
            <w:vAlign w:val="center"/>
          </w:tcPr>
          <w:p w14:paraId="791BF982">
            <w:pPr>
              <w:widowControl/>
              <w:spacing w:line="320" w:lineRule="exact"/>
              <w:jc w:val="center"/>
              <w:rPr>
                <w:rFonts w:hint="default" w:ascii="Times New Roman" w:hAnsi="Times New Roman" w:eastAsia="方正仿宋简体" w:cs="Times New Roman"/>
                <w:b w:val="0"/>
                <w:bCs w:val="0"/>
                <w:sz w:val="24"/>
                <w:szCs w:val="24"/>
                <w:highlight w:val="none"/>
              </w:rPr>
            </w:pPr>
            <w:r>
              <w:rPr>
                <w:rFonts w:hint="default" w:ascii="Times New Roman" w:hAnsi="Times New Roman" w:eastAsia="方正仿宋简体" w:cs="Times New Roman"/>
                <w:b w:val="0"/>
                <w:bCs w:val="0"/>
                <w:kern w:val="0"/>
                <w:sz w:val="28"/>
                <w:szCs w:val="28"/>
                <w:highlight w:val="none"/>
                <w:lang w:bidi="ar"/>
              </w:rPr>
              <w:t>2</w:t>
            </w:r>
          </w:p>
        </w:tc>
        <w:tc>
          <w:tcPr>
            <w:tcW w:w="2500" w:type="dxa"/>
            <w:tcBorders>
              <w:tl2br w:val="nil"/>
              <w:tr2bl w:val="nil"/>
            </w:tcBorders>
            <w:vAlign w:val="center"/>
          </w:tcPr>
          <w:p w14:paraId="7CD674CA">
            <w:pPr>
              <w:widowControl/>
              <w:spacing w:line="320" w:lineRule="exact"/>
              <w:jc w:val="center"/>
              <w:rPr>
                <w:rFonts w:hint="default" w:ascii="Times New Roman" w:hAnsi="Times New Roman" w:eastAsia="方正仿宋简体" w:cs="Times New Roman"/>
                <w:b w:val="0"/>
                <w:bCs w:val="0"/>
                <w:sz w:val="24"/>
                <w:szCs w:val="24"/>
                <w:highlight w:val="none"/>
              </w:rPr>
            </w:pPr>
            <w:r>
              <w:rPr>
                <w:rFonts w:hint="default" w:ascii="Times New Roman" w:hAnsi="Times New Roman" w:eastAsia="方正仿宋简体" w:cs="Times New Roman"/>
                <w:b w:val="0"/>
                <w:bCs w:val="0"/>
                <w:kern w:val="0"/>
                <w:sz w:val="28"/>
                <w:szCs w:val="28"/>
                <w:highlight w:val="none"/>
                <w:lang w:bidi="ar"/>
              </w:rPr>
              <w:t>秸秆捡拾打捆离田作业补贴</w:t>
            </w:r>
          </w:p>
        </w:tc>
        <w:tc>
          <w:tcPr>
            <w:tcW w:w="2021" w:type="dxa"/>
            <w:tcBorders>
              <w:tl2br w:val="nil"/>
              <w:tr2bl w:val="nil"/>
            </w:tcBorders>
            <w:vAlign w:val="center"/>
          </w:tcPr>
          <w:p w14:paraId="0BE5B60A">
            <w:pPr>
              <w:widowControl/>
              <w:spacing w:line="320" w:lineRule="exact"/>
              <w:jc w:val="center"/>
              <w:rPr>
                <w:rFonts w:hint="default" w:ascii="Times New Roman" w:hAnsi="Times New Roman" w:eastAsia="方正仿宋简体" w:cs="Times New Roman"/>
                <w:b w:val="0"/>
                <w:bCs w:val="0"/>
                <w:sz w:val="28"/>
                <w:szCs w:val="28"/>
                <w:highlight w:val="none"/>
                <w:lang w:val="en-US" w:eastAsia="zh-CN"/>
              </w:rPr>
            </w:pPr>
            <w:r>
              <w:rPr>
                <w:rFonts w:hint="eastAsia" w:ascii="Times New Roman" w:hAnsi="Times New Roman" w:eastAsia="方正仿宋简体" w:cs="Times New Roman"/>
                <w:b w:val="0"/>
                <w:bCs w:val="0"/>
                <w:kern w:val="0"/>
                <w:sz w:val="28"/>
                <w:szCs w:val="28"/>
                <w:highlight w:val="none"/>
                <w:lang w:val="en-US" w:eastAsia="zh-CN" w:bidi="ar"/>
              </w:rPr>
              <w:t>100</w:t>
            </w:r>
          </w:p>
        </w:tc>
        <w:tc>
          <w:tcPr>
            <w:tcW w:w="1937" w:type="dxa"/>
            <w:tcBorders>
              <w:tl2br w:val="nil"/>
              <w:tr2bl w:val="nil"/>
            </w:tcBorders>
            <w:vAlign w:val="center"/>
          </w:tcPr>
          <w:p w14:paraId="55ABE16D">
            <w:pPr>
              <w:widowControl/>
              <w:spacing w:line="320" w:lineRule="exact"/>
              <w:jc w:val="center"/>
              <w:rPr>
                <w:rFonts w:hint="default" w:ascii="Times New Roman" w:hAnsi="Times New Roman" w:eastAsia="方正仿宋简体" w:cs="Times New Roman"/>
                <w:b w:val="0"/>
                <w:bCs w:val="0"/>
                <w:sz w:val="28"/>
                <w:szCs w:val="28"/>
                <w:highlight w:val="none"/>
              </w:rPr>
            </w:pPr>
            <w:r>
              <w:rPr>
                <w:rFonts w:hint="default" w:ascii="Times New Roman" w:hAnsi="Times New Roman" w:eastAsia="方正仿宋简体" w:cs="Times New Roman"/>
                <w:b w:val="0"/>
                <w:bCs w:val="0"/>
                <w:kern w:val="0"/>
                <w:sz w:val="28"/>
                <w:szCs w:val="28"/>
                <w:highlight w:val="none"/>
                <w:lang w:bidi="ar"/>
              </w:rPr>
              <w:t>0</w:t>
            </w:r>
          </w:p>
        </w:tc>
        <w:tc>
          <w:tcPr>
            <w:tcW w:w="1483" w:type="dxa"/>
            <w:tcBorders>
              <w:tl2br w:val="nil"/>
              <w:tr2bl w:val="nil"/>
            </w:tcBorders>
            <w:vAlign w:val="center"/>
          </w:tcPr>
          <w:p w14:paraId="3B434581">
            <w:pPr>
              <w:widowControl/>
              <w:spacing w:line="320" w:lineRule="exact"/>
              <w:jc w:val="center"/>
              <w:rPr>
                <w:rFonts w:hint="default" w:ascii="Times New Roman" w:hAnsi="Times New Roman" w:eastAsia="方正仿宋简体" w:cs="Times New Roman"/>
                <w:b w:val="0"/>
                <w:bCs w:val="0"/>
                <w:sz w:val="28"/>
                <w:szCs w:val="28"/>
                <w:highlight w:val="none"/>
                <w:lang w:val="en-US" w:eastAsia="zh-CN"/>
              </w:rPr>
            </w:pPr>
            <w:r>
              <w:rPr>
                <w:rFonts w:hint="eastAsia" w:ascii="Times New Roman" w:hAnsi="Times New Roman" w:eastAsia="方正仿宋简体" w:cs="Times New Roman"/>
                <w:b w:val="0"/>
                <w:bCs w:val="0"/>
                <w:kern w:val="0"/>
                <w:sz w:val="28"/>
                <w:szCs w:val="28"/>
                <w:highlight w:val="none"/>
                <w:lang w:val="en-US" w:eastAsia="zh-CN" w:bidi="ar"/>
              </w:rPr>
              <w:t>100</w:t>
            </w:r>
          </w:p>
        </w:tc>
      </w:tr>
      <w:tr w14:paraId="538B9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063" w:type="dxa"/>
            <w:tcBorders>
              <w:tl2br w:val="nil"/>
              <w:tr2bl w:val="nil"/>
            </w:tcBorders>
            <w:vAlign w:val="center"/>
          </w:tcPr>
          <w:p w14:paraId="277EF102">
            <w:pPr>
              <w:widowControl/>
              <w:spacing w:line="320" w:lineRule="exact"/>
              <w:jc w:val="center"/>
              <w:rPr>
                <w:rFonts w:hint="default" w:ascii="Times New Roman" w:hAnsi="Times New Roman" w:eastAsia="方正仿宋简体" w:cs="Times New Roman"/>
                <w:b w:val="0"/>
                <w:bCs w:val="0"/>
                <w:kern w:val="0"/>
                <w:sz w:val="28"/>
                <w:szCs w:val="28"/>
                <w:highlight w:val="none"/>
                <w:lang w:bidi="ar"/>
              </w:rPr>
            </w:pPr>
            <w:r>
              <w:rPr>
                <w:rFonts w:hint="default" w:ascii="Times New Roman" w:hAnsi="Times New Roman" w:eastAsia="方正仿宋简体" w:cs="Times New Roman"/>
                <w:b w:val="0"/>
                <w:bCs w:val="0"/>
                <w:kern w:val="0"/>
                <w:sz w:val="28"/>
                <w:szCs w:val="28"/>
                <w:highlight w:val="none"/>
                <w:lang w:bidi="ar"/>
              </w:rPr>
              <w:t>3</w:t>
            </w:r>
          </w:p>
        </w:tc>
        <w:tc>
          <w:tcPr>
            <w:tcW w:w="2500" w:type="dxa"/>
            <w:tcBorders>
              <w:tl2br w:val="nil"/>
              <w:tr2bl w:val="nil"/>
            </w:tcBorders>
            <w:vAlign w:val="center"/>
          </w:tcPr>
          <w:p w14:paraId="7E78005E">
            <w:pPr>
              <w:widowControl/>
              <w:spacing w:line="320" w:lineRule="exact"/>
              <w:jc w:val="center"/>
              <w:rPr>
                <w:rFonts w:hint="default" w:ascii="Times New Roman" w:hAnsi="Times New Roman" w:eastAsia="方正仿宋简体" w:cs="Times New Roman"/>
                <w:b w:val="0"/>
                <w:bCs w:val="0"/>
                <w:kern w:val="0"/>
                <w:sz w:val="28"/>
                <w:szCs w:val="28"/>
                <w:highlight w:val="none"/>
                <w:lang w:bidi="ar"/>
              </w:rPr>
            </w:pPr>
            <w:r>
              <w:rPr>
                <w:rFonts w:hint="default" w:ascii="Times New Roman" w:hAnsi="Times New Roman" w:eastAsia="方正仿宋简体" w:cs="Times New Roman"/>
                <w:b w:val="0"/>
                <w:bCs w:val="0"/>
                <w:kern w:val="0"/>
                <w:sz w:val="28"/>
                <w:szCs w:val="28"/>
                <w:highlight w:val="none"/>
                <w:lang w:bidi="ar"/>
              </w:rPr>
              <w:t>玉米穗茎兼收作业补贴</w:t>
            </w:r>
          </w:p>
        </w:tc>
        <w:tc>
          <w:tcPr>
            <w:tcW w:w="2021" w:type="dxa"/>
            <w:tcBorders>
              <w:tl2br w:val="nil"/>
              <w:tr2bl w:val="nil"/>
            </w:tcBorders>
            <w:vAlign w:val="center"/>
          </w:tcPr>
          <w:p w14:paraId="5EE42C3C">
            <w:pPr>
              <w:widowControl/>
              <w:spacing w:line="320" w:lineRule="exact"/>
              <w:jc w:val="center"/>
              <w:rPr>
                <w:rFonts w:hint="default" w:ascii="Times New Roman" w:hAnsi="Times New Roman" w:eastAsia="方正仿宋简体" w:cs="Times New Roman"/>
                <w:b w:val="0"/>
                <w:bCs w:val="0"/>
                <w:kern w:val="0"/>
                <w:sz w:val="28"/>
                <w:szCs w:val="28"/>
                <w:highlight w:val="none"/>
                <w:lang w:val="en-US" w:eastAsia="zh-CN" w:bidi="ar"/>
              </w:rPr>
            </w:pPr>
            <w:r>
              <w:rPr>
                <w:rFonts w:hint="eastAsia" w:ascii="Times New Roman" w:hAnsi="Times New Roman" w:eastAsia="方正仿宋简体" w:cs="Times New Roman"/>
                <w:b w:val="0"/>
                <w:bCs w:val="0"/>
                <w:kern w:val="0"/>
                <w:sz w:val="28"/>
                <w:szCs w:val="28"/>
                <w:highlight w:val="none"/>
                <w:lang w:val="en-US" w:eastAsia="zh-CN" w:bidi="ar"/>
              </w:rPr>
              <w:t>116</w:t>
            </w:r>
          </w:p>
        </w:tc>
        <w:tc>
          <w:tcPr>
            <w:tcW w:w="1937" w:type="dxa"/>
            <w:tcBorders>
              <w:tl2br w:val="nil"/>
              <w:tr2bl w:val="nil"/>
            </w:tcBorders>
            <w:vAlign w:val="center"/>
          </w:tcPr>
          <w:p w14:paraId="1B83C226">
            <w:pPr>
              <w:widowControl/>
              <w:spacing w:line="320" w:lineRule="exact"/>
              <w:jc w:val="center"/>
              <w:rPr>
                <w:rFonts w:hint="default" w:ascii="Times New Roman" w:hAnsi="Times New Roman" w:eastAsia="方正仿宋简体" w:cs="Times New Roman"/>
                <w:b w:val="0"/>
                <w:bCs w:val="0"/>
                <w:kern w:val="0"/>
                <w:sz w:val="28"/>
                <w:szCs w:val="28"/>
                <w:highlight w:val="none"/>
                <w:lang w:bidi="ar"/>
              </w:rPr>
            </w:pPr>
            <w:r>
              <w:rPr>
                <w:rFonts w:hint="default" w:ascii="Times New Roman" w:hAnsi="Times New Roman" w:eastAsia="方正仿宋简体" w:cs="Times New Roman"/>
                <w:b w:val="0"/>
                <w:bCs w:val="0"/>
                <w:kern w:val="0"/>
                <w:sz w:val="28"/>
                <w:szCs w:val="28"/>
                <w:highlight w:val="none"/>
                <w:lang w:bidi="ar"/>
              </w:rPr>
              <w:t>0</w:t>
            </w:r>
          </w:p>
        </w:tc>
        <w:tc>
          <w:tcPr>
            <w:tcW w:w="1483" w:type="dxa"/>
            <w:tcBorders>
              <w:tl2br w:val="nil"/>
              <w:tr2bl w:val="nil"/>
            </w:tcBorders>
            <w:vAlign w:val="center"/>
          </w:tcPr>
          <w:p w14:paraId="690C1DEC">
            <w:pPr>
              <w:widowControl/>
              <w:spacing w:line="320" w:lineRule="exact"/>
              <w:jc w:val="center"/>
              <w:rPr>
                <w:rFonts w:hint="default" w:ascii="Times New Roman" w:hAnsi="Times New Roman" w:eastAsia="方正仿宋简体" w:cs="Times New Roman"/>
                <w:b w:val="0"/>
                <w:bCs w:val="0"/>
                <w:kern w:val="0"/>
                <w:sz w:val="28"/>
                <w:szCs w:val="28"/>
                <w:highlight w:val="none"/>
                <w:lang w:val="en-US" w:eastAsia="zh-CN" w:bidi="ar"/>
              </w:rPr>
            </w:pPr>
            <w:r>
              <w:rPr>
                <w:rFonts w:hint="eastAsia" w:ascii="Times New Roman" w:hAnsi="Times New Roman" w:eastAsia="方正仿宋简体" w:cs="Times New Roman"/>
                <w:b w:val="0"/>
                <w:bCs w:val="0"/>
                <w:kern w:val="0"/>
                <w:sz w:val="28"/>
                <w:szCs w:val="28"/>
                <w:highlight w:val="none"/>
                <w:lang w:val="en-US" w:eastAsia="zh-CN" w:bidi="ar"/>
              </w:rPr>
              <w:t>116</w:t>
            </w:r>
          </w:p>
        </w:tc>
      </w:tr>
      <w:tr w14:paraId="64B96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 w:hRule="atLeast"/>
          <w:jc w:val="center"/>
        </w:trPr>
        <w:tc>
          <w:tcPr>
            <w:tcW w:w="1063" w:type="dxa"/>
            <w:tcBorders>
              <w:tl2br w:val="nil"/>
              <w:tr2bl w:val="nil"/>
            </w:tcBorders>
            <w:vAlign w:val="center"/>
          </w:tcPr>
          <w:p w14:paraId="4E3EF0CC">
            <w:pPr>
              <w:widowControl/>
              <w:spacing w:line="320" w:lineRule="exact"/>
              <w:jc w:val="center"/>
              <w:rPr>
                <w:rFonts w:hint="default" w:ascii="Times New Roman" w:hAnsi="Times New Roman" w:eastAsia="方正仿宋简体" w:cs="Times New Roman"/>
                <w:b w:val="0"/>
                <w:bCs w:val="0"/>
                <w:sz w:val="24"/>
                <w:szCs w:val="24"/>
                <w:highlight w:val="none"/>
              </w:rPr>
            </w:pPr>
            <w:r>
              <w:rPr>
                <w:rFonts w:hint="default" w:ascii="Times New Roman" w:hAnsi="Times New Roman" w:eastAsia="方正仿宋简体" w:cs="Times New Roman"/>
                <w:b w:val="0"/>
                <w:bCs w:val="0"/>
                <w:sz w:val="24"/>
                <w:szCs w:val="24"/>
                <w:highlight w:val="none"/>
              </w:rPr>
              <w:t>4</w:t>
            </w:r>
          </w:p>
        </w:tc>
        <w:tc>
          <w:tcPr>
            <w:tcW w:w="2500" w:type="dxa"/>
            <w:tcBorders>
              <w:tl2br w:val="nil"/>
              <w:tr2bl w:val="nil"/>
            </w:tcBorders>
            <w:vAlign w:val="center"/>
          </w:tcPr>
          <w:p w14:paraId="415F2E2A">
            <w:pPr>
              <w:widowControl/>
              <w:spacing w:line="320" w:lineRule="exact"/>
              <w:jc w:val="center"/>
              <w:rPr>
                <w:rFonts w:hint="default" w:ascii="Times New Roman" w:hAnsi="Times New Roman" w:eastAsia="方正仿宋简体" w:cs="Times New Roman"/>
                <w:b w:val="0"/>
                <w:bCs w:val="0"/>
                <w:sz w:val="24"/>
                <w:szCs w:val="24"/>
                <w:highlight w:val="none"/>
              </w:rPr>
            </w:pPr>
            <w:bookmarkStart w:id="1" w:name="_Hlk233839421"/>
            <w:r>
              <w:rPr>
                <w:rFonts w:hint="default" w:ascii="Times New Roman" w:hAnsi="Times New Roman" w:eastAsia="方正仿宋简体" w:cs="Times New Roman"/>
                <w:b w:val="0"/>
                <w:bCs w:val="0"/>
                <w:kern w:val="0"/>
                <w:sz w:val="28"/>
                <w:szCs w:val="28"/>
                <w:highlight w:val="none"/>
                <w:lang w:bidi="ar"/>
              </w:rPr>
              <w:t>秸秆收储运体系建设（秸秆收储离田作业机具购置补贴）</w:t>
            </w:r>
            <w:bookmarkEnd w:id="1"/>
          </w:p>
        </w:tc>
        <w:tc>
          <w:tcPr>
            <w:tcW w:w="2021" w:type="dxa"/>
            <w:tcBorders>
              <w:tl2br w:val="nil"/>
              <w:tr2bl w:val="nil"/>
            </w:tcBorders>
            <w:vAlign w:val="center"/>
          </w:tcPr>
          <w:p w14:paraId="18360B14">
            <w:pPr>
              <w:widowControl/>
              <w:spacing w:line="320" w:lineRule="exact"/>
              <w:jc w:val="center"/>
              <w:rPr>
                <w:rFonts w:hint="default" w:ascii="Times New Roman" w:hAnsi="Times New Roman" w:eastAsia="方正仿宋简体" w:cs="Times New Roman"/>
                <w:b w:val="0"/>
                <w:bCs w:val="0"/>
                <w:sz w:val="28"/>
                <w:szCs w:val="28"/>
                <w:highlight w:val="none"/>
                <w:lang w:val="en-US" w:eastAsia="zh-CN"/>
              </w:rPr>
            </w:pPr>
            <w:r>
              <w:rPr>
                <w:rFonts w:hint="eastAsia" w:ascii="Times New Roman" w:hAnsi="Times New Roman" w:eastAsia="方正仿宋简体" w:cs="Times New Roman"/>
                <w:b w:val="0"/>
                <w:bCs w:val="0"/>
                <w:kern w:val="0"/>
                <w:sz w:val="28"/>
                <w:szCs w:val="28"/>
                <w:highlight w:val="none"/>
                <w:lang w:val="en-US" w:eastAsia="zh-CN" w:bidi="ar"/>
              </w:rPr>
              <w:t>107.66</w:t>
            </w:r>
          </w:p>
        </w:tc>
        <w:tc>
          <w:tcPr>
            <w:tcW w:w="1937" w:type="dxa"/>
            <w:tcBorders>
              <w:tl2br w:val="nil"/>
              <w:tr2bl w:val="nil"/>
            </w:tcBorders>
            <w:vAlign w:val="center"/>
          </w:tcPr>
          <w:p w14:paraId="74A3797E">
            <w:pPr>
              <w:widowControl/>
              <w:spacing w:line="320" w:lineRule="exact"/>
              <w:jc w:val="center"/>
              <w:rPr>
                <w:rFonts w:hint="default" w:ascii="Times New Roman" w:hAnsi="Times New Roman" w:eastAsia="方正仿宋简体" w:cs="Times New Roman"/>
                <w:b w:val="0"/>
                <w:bCs w:val="0"/>
                <w:sz w:val="28"/>
                <w:szCs w:val="28"/>
                <w:highlight w:val="none"/>
                <w:lang w:val="en-US" w:eastAsia="zh-CN"/>
              </w:rPr>
            </w:pPr>
            <w:r>
              <w:rPr>
                <w:rFonts w:hint="eastAsia" w:ascii="Times New Roman" w:hAnsi="Times New Roman" w:eastAsia="方正仿宋简体" w:cs="Times New Roman"/>
                <w:b w:val="0"/>
                <w:bCs w:val="0"/>
                <w:kern w:val="0"/>
                <w:sz w:val="28"/>
                <w:szCs w:val="28"/>
                <w:highlight w:val="none"/>
                <w:lang w:val="en-US" w:eastAsia="zh-CN" w:bidi="ar"/>
              </w:rPr>
              <w:t>199.94</w:t>
            </w:r>
          </w:p>
        </w:tc>
        <w:tc>
          <w:tcPr>
            <w:tcW w:w="1483" w:type="dxa"/>
            <w:tcBorders>
              <w:tl2br w:val="nil"/>
              <w:tr2bl w:val="nil"/>
            </w:tcBorders>
            <w:vAlign w:val="center"/>
          </w:tcPr>
          <w:p w14:paraId="61023BDA">
            <w:pPr>
              <w:widowControl/>
              <w:spacing w:line="320" w:lineRule="exact"/>
              <w:jc w:val="center"/>
              <w:rPr>
                <w:rFonts w:hint="default" w:ascii="Times New Roman" w:hAnsi="Times New Roman" w:eastAsia="方正仿宋简体" w:cs="Times New Roman"/>
                <w:b w:val="0"/>
                <w:bCs w:val="0"/>
                <w:sz w:val="28"/>
                <w:szCs w:val="28"/>
                <w:highlight w:val="none"/>
                <w:lang w:val="en-US" w:eastAsia="zh-CN"/>
              </w:rPr>
            </w:pPr>
            <w:r>
              <w:rPr>
                <w:rFonts w:hint="eastAsia" w:ascii="Times New Roman" w:hAnsi="Times New Roman" w:eastAsia="方正仿宋简体" w:cs="Times New Roman"/>
                <w:b w:val="0"/>
                <w:bCs w:val="0"/>
                <w:kern w:val="0"/>
                <w:sz w:val="28"/>
                <w:szCs w:val="28"/>
                <w:highlight w:val="none"/>
                <w:lang w:val="en-US" w:eastAsia="zh-CN" w:bidi="ar"/>
              </w:rPr>
              <w:t>307.6</w:t>
            </w:r>
          </w:p>
        </w:tc>
      </w:tr>
      <w:tr w14:paraId="40236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1063" w:type="dxa"/>
            <w:tcBorders>
              <w:tl2br w:val="nil"/>
              <w:tr2bl w:val="nil"/>
            </w:tcBorders>
            <w:vAlign w:val="center"/>
          </w:tcPr>
          <w:p w14:paraId="080CFBAB">
            <w:pPr>
              <w:widowControl/>
              <w:spacing w:line="320" w:lineRule="exact"/>
              <w:jc w:val="center"/>
              <w:rPr>
                <w:rFonts w:hint="default" w:ascii="Times New Roman" w:hAnsi="Times New Roman" w:eastAsia="方正仿宋简体" w:cs="Times New Roman"/>
                <w:b w:val="0"/>
                <w:bCs w:val="0"/>
                <w:sz w:val="24"/>
                <w:szCs w:val="24"/>
                <w:highlight w:val="none"/>
              </w:rPr>
            </w:pPr>
            <w:r>
              <w:rPr>
                <w:rFonts w:hint="default" w:ascii="Times New Roman" w:hAnsi="Times New Roman" w:eastAsia="方正仿宋简体" w:cs="Times New Roman"/>
                <w:b w:val="0"/>
                <w:bCs w:val="0"/>
                <w:sz w:val="24"/>
                <w:szCs w:val="24"/>
                <w:highlight w:val="none"/>
              </w:rPr>
              <w:t>5</w:t>
            </w:r>
          </w:p>
        </w:tc>
        <w:tc>
          <w:tcPr>
            <w:tcW w:w="2500" w:type="dxa"/>
            <w:tcBorders>
              <w:tl2br w:val="nil"/>
              <w:tr2bl w:val="nil"/>
            </w:tcBorders>
            <w:vAlign w:val="center"/>
          </w:tcPr>
          <w:p w14:paraId="1F5B05AD">
            <w:pPr>
              <w:widowControl/>
              <w:spacing w:line="320" w:lineRule="exact"/>
              <w:jc w:val="center"/>
              <w:rPr>
                <w:rFonts w:hint="default" w:ascii="Times New Roman" w:hAnsi="Times New Roman" w:eastAsia="方正仿宋简体" w:cs="Times New Roman"/>
                <w:b w:val="0"/>
                <w:bCs w:val="0"/>
                <w:sz w:val="24"/>
                <w:szCs w:val="24"/>
                <w:highlight w:val="none"/>
              </w:rPr>
            </w:pPr>
            <w:r>
              <w:rPr>
                <w:rFonts w:hint="default" w:ascii="Times New Roman" w:hAnsi="Times New Roman" w:eastAsia="方正仿宋简体" w:cs="Times New Roman"/>
                <w:b w:val="0"/>
                <w:bCs w:val="0"/>
                <w:kern w:val="0"/>
                <w:sz w:val="28"/>
                <w:szCs w:val="28"/>
                <w:highlight w:val="none"/>
                <w:lang w:bidi="ar"/>
              </w:rPr>
              <w:t>秸秆还田效果监测</w:t>
            </w:r>
          </w:p>
        </w:tc>
        <w:tc>
          <w:tcPr>
            <w:tcW w:w="2021" w:type="dxa"/>
            <w:tcBorders>
              <w:tl2br w:val="nil"/>
              <w:tr2bl w:val="nil"/>
            </w:tcBorders>
            <w:vAlign w:val="center"/>
          </w:tcPr>
          <w:p w14:paraId="39A6D884">
            <w:pPr>
              <w:widowControl/>
              <w:spacing w:line="320" w:lineRule="exact"/>
              <w:jc w:val="center"/>
              <w:rPr>
                <w:rFonts w:hint="default" w:ascii="Times New Roman" w:hAnsi="Times New Roman" w:eastAsia="方正仿宋简体" w:cs="Times New Roman"/>
                <w:b w:val="0"/>
                <w:bCs w:val="0"/>
                <w:sz w:val="28"/>
                <w:szCs w:val="28"/>
                <w:highlight w:val="none"/>
              </w:rPr>
            </w:pPr>
            <w:r>
              <w:rPr>
                <w:rFonts w:hint="default" w:ascii="Times New Roman" w:hAnsi="Times New Roman" w:eastAsia="方正仿宋简体" w:cs="Times New Roman"/>
                <w:b w:val="0"/>
                <w:bCs w:val="0"/>
                <w:kern w:val="0"/>
                <w:sz w:val="28"/>
                <w:szCs w:val="28"/>
                <w:highlight w:val="none"/>
                <w:lang w:bidi="ar"/>
              </w:rPr>
              <w:t>27</w:t>
            </w:r>
          </w:p>
        </w:tc>
        <w:tc>
          <w:tcPr>
            <w:tcW w:w="1937" w:type="dxa"/>
            <w:tcBorders>
              <w:tl2br w:val="nil"/>
              <w:tr2bl w:val="nil"/>
            </w:tcBorders>
            <w:vAlign w:val="center"/>
          </w:tcPr>
          <w:p w14:paraId="2296B82E">
            <w:pPr>
              <w:widowControl/>
              <w:spacing w:line="320" w:lineRule="exact"/>
              <w:jc w:val="center"/>
              <w:rPr>
                <w:rFonts w:hint="default" w:ascii="Times New Roman" w:hAnsi="Times New Roman" w:eastAsia="方正仿宋简体" w:cs="Times New Roman"/>
                <w:b w:val="0"/>
                <w:bCs w:val="0"/>
                <w:sz w:val="28"/>
                <w:szCs w:val="28"/>
                <w:highlight w:val="none"/>
              </w:rPr>
            </w:pPr>
            <w:r>
              <w:rPr>
                <w:rFonts w:hint="default" w:ascii="Times New Roman" w:hAnsi="Times New Roman" w:eastAsia="方正仿宋简体" w:cs="Times New Roman"/>
                <w:b w:val="0"/>
                <w:bCs w:val="0"/>
                <w:kern w:val="0"/>
                <w:sz w:val="28"/>
                <w:szCs w:val="28"/>
                <w:highlight w:val="none"/>
                <w:lang w:bidi="ar"/>
              </w:rPr>
              <w:t>0</w:t>
            </w:r>
          </w:p>
        </w:tc>
        <w:tc>
          <w:tcPr>
            <w:tcW w:w="1483" w:type="dxa"/>
            <w:tcBorders>
              <w:tl2br w:val="nil"/>
              <w:tr2bl w:val="nil"/>
            </w:tcBorders>
            <w:vAlign w:val="center"/>
          </w:tcPr>
          <w:p w14:paraId="34757432">
            <w:pPr>
              <w:widowControl/>
              <w:spacing w:line="320" w:lineRule="exact"/>
              <w:jc w:val="center"/>
              <w:rPr>
                <w:rFonts w:hint="default" w:ascii="Times New Roman" w:hAnsi="Times New Roman" w:eastAsia="方正仿宋简体" w:cs="Times New Roman"/>
                <w:b w:val="0"/>
                <w:bCs w:val="0"/>
                <w:sz w:val="28"/>
                <w:szCs w:val="28"/>
                <w:highlight w:val="none"/>
              </w:rPr>
            </w:pPr>
            <w:r>
              <w:rPr>
                <w:rFonts w:hint="default" w:ascii="Times New Roman" w:hAnsi="Times New Roman" w:eastAsia="方正仿宋简体" w:cs="Times New Roman"/>
                <w:b w:val="0"/>
                <w:bCs w:val="0"/>
                <w:kern w:val="0"/>
                <w:sz w:val="28"/>
                <w:szCs w:val="28"/>
                <w:highlight w:val="none"/>
                <w:lang w:bidi="ar"/>
              </w:rPr>
              <w:t>27</w:t>
            </w:r>
          </w:p>
        </w:tc>
      </w:tr>
      <w:tr w14:paraId="066F7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063" w:type="dxa"/>
            <w:tcBorders>
              <w:tl2br w:val="nil"/>
              <w:tr2bl w:val="nil"/>
            </w:tcBorders>
            <w:vAlign w:val="center"/>
          </w:tcPr>
          <w:p w14:paraId="210DE2BD">
            <w:pPr>
              <w:widowControl/>
              <w:spacing w:line="320" w:lineRule="exact"/>
              <w:jc w:val="center"/>
              <w:rPr>
                <w:rFonts w:hint="default" w:ascii="Times New Roman" w:hAnsi="Times New Roman" w:eastAsia="方正仿宋简体" w:cs="Times New Roman"/>
                <w:b w:val="0"/>
                <w:bCs w:val="0"/>
                <w:sz w:val="24"/>
                <w:szCs w:val="24"/>
                <w:highlight w:val="none"/>
              </w:rPr>
            </w:pPr>
            <w:r>
              <w:rPr>
                <w:rFonts w:hint="default" w:ascii="Times New Roman" w:hAnsi="Times New Roman" w:eastAsia="方正仿宋简体" w:cs="Times New Roman"/>
                <w:b w:val="0"/>
                <w:bCs w:val="0"/>
                <w:sz w:val="24"/>
                <w:szCs w:val="24"/>
                <w:highlight w:val="none"/>
              </w:rPr>
              <w:t>6</w:t>
            </w:r>
          </w:p>
        </w:tc>
        <w:tc>
          <w:tcPr>
            <w:tcW w:w="2500" w:type="dxa"/>
            <w:tcBorders>
              <w:tl2br w:val="nil"/>
              <w:tr2bl w:val="nil"/>
            </w:tcBorders>
            <w:vAlign w:val="center"/>
          </w:tcPr>
          <w:p w14:paraId="77184235">
            <w:pPr>
              <w:widowControl/>
              <w:spacing w:line="320" w:lineRule="exact"/>
              <w:jc w:val="center"/>
              <w:rPr>
                <w:rFonts w:hint="default" w:ascii="Times New Roman" w:hAnsi="Times New Roman" w:eastAsia="方正仿宋简体" w:cs="Times New Roman"/>
                <w:b w:val="0"/>
                <w:bCs w:val="0"/>
                <w:sz w:val="24"/>
                <w:szCs w:val="24"/>
                <w:highlight w:val="none"/>
              </w:rPr>
            </w:pPr>
            <w:r>
              <w:rPr>
                <w:rFonts w:hint="default" w:ascii="Times New Roman" w:hAnsi="Times New Roman" w:eastAsia="方正仿宋简体" w:cs="Times New Roman"/>
                <w:b w:val="0"/>
                <w:bCs w:val="0"/>
                <w:kern w:val="0"/>
                <w:sz w:val="28"/>
                <w:szCs w:val="28"/>
                <w:highlight w:val="none"/>
                <w:lang w:bidi="ar"/>
              </w:rPr>
              <w:t>培训宣传推广应用</w:t>
            </w:r>
          </w:p>
        </w:tc>
        <w:tc>
          <w:tcPr>
            <w:tcW w:w="2021" w:type="dxa"/>
            <w:tcBorders>
              <w:tl2br w:val="nil"/>
              <w:tr2bl w:val="nil"/>
            </w:tcBorders>
            <w:vAlign w:val="center"/>
          </w:tcPr>
          <w:p w14:paraId="42E630AB">
            <w:pPr>
              <w:widowControl/>
              <w:spacing w:line="320" w:lineRule="exact"/>
              <w:jc w:val="center"/>
              <w:rPr>
                <w:rFonts w:hint="default" w:ascii="Times New Roman" w:hAnsi="Times New Roman" w:eastAsia="方正仿宋简体" w:cs="Times New Roman"/>
                <w:b w:val="0"/>
                <w:bCs w:val="0"/>
                <w:sz w:val="28"/>
                <w:szCs w:val="28"/>
                <w:highlight w:val="none"/>
                <w:lang w:val="en-US" w:eastAsia="zh-CN"/>
              </w:rPr>
            </w:pPr>
            <w:r>
              <w:rPr>
                <w:rFonts w:hint="eastAsia" w:ascii="Times New Roman" w:hAnsi="Times New Roman" w:eastAsia="方正仿宋简体" w:cs="Times New Roman"/>
                <w:b w:val="0"/>
                <w:bCs w:val="0"/>
                <w:kern w:val="0"/>
                <w:sz w:val="28"/>
                <w:szCs w:val="28"/>
                <w:highlight w:val="none"/>
                <w:lang w:val="en-US" w:eastAsia="zh-CN" w:bidi="ar"/>
              </w:rPr>
              <w:t>9.34</w:t>
            </w:r>
          </w:p>
        </w:tc>
        <w:tc>
          <w:tcPr>
            <w:tcW w:w="1937" w:type="dxa"/>
            <w:tcBorders>
              <w:tl2br w:val="nil"/>
              <w:tr2bl w:val="nil"/>
            </w:tcBorders>
            <w:vAlign w:val="center"/>
          </w:tcPr>
          <w:p w14:paraId="5C2CBB52">
            <w:pPr>
              <w:widowControl/>
              <w:spacing w:line="320" w:lineRule="exact"/>
              <w:jc w:val="center"/>
              <w:rPr>
                <w:rFonts w:hint="default" w:ascii="Times New Roman" w:hAnsi="Times New Roman" w:eastAsia="方正仿宋简体" w:cs="Times New Roman"/>
                <w:b w:val="0"/>
                <w:bCs w:val="0"/>
                <w:sz w:val="28"/>
                <w:szCs w:val="28"/>
                <w:highlight w:val="none"/>
              </w:rPr>
            </w:pPr>
            <w:r>
              <w:rPr>
                <w:rFonts w:hint="default" w:ascii="Times New Roman" w:hAnsi="Times New Roman" w:eastAsia="方正仿宋简体" w:cs="Times New Roman"/>
                <w:b w:val="0"/>
                <w:bCs w:val="0"/>
                <w:kern w:val="0"/>
                <w:sz w:val="28"/>
                <w:szCs w:val="28"/>
                <w:highlight w:val="none"/>
                <w:lang w:bidi="ar"/>
              </w:rPr>
              <w:t>0</w:t>
            </w:r>
          </w:p>
        </w:tc>
        <w:tc>
          <w:tcPr>
            <w:tcW w:w="1483" w:type="dxa"/>
            <w:tcBorders>
              <w:tl2br w:val="nil"/>
              <w:tr2bl w:val="nil"/>
            </w:tcBorders>
            <w:vAlign w:val="center"/>
          </w:tcPr>
          <w:p w14:paraId="4A76179F">
            <w:pPr>
              <w:widowControl/>
              <w:spacing w:line="320" w:lineRule="exact"/>
              <w:jc w:val="center"/>
              <w:rPr>
                <w:rFonts w:hint="default" w:ascii="Times New Roman" w:hAnsi="Times New Roman" w:eastAsia="方正仿宋简体" w:cs="Times New Roman"/>
                <w:b w:val="0"/>
                <w:bCs w:val="0"/>
                <w:sz w:val="28"/>
                <w:szCs w:val="28"/>
                <w:highlight w:val="none"/>
                <w:lang w:val="en-US" w:eastAsia="zh-CN"/>
              </w:rPr>
            </w:pPr>
            <w:r>
              <w:rPr>
                <w:rFonts w:hint="eastAsia" w:ascii="Times New Roman" w:hAnsi="Times New Roman" w:eastAsia="方正仿宋简体" w:cs="Times New Roman"/>
                <w:b w:val="0"/>
                <w:bCs w:val="0"/>
                <w:sz w:val="28"/>
                <w:szCs w:val="28"/>
                <w:highlight w:val="none"/>
                <w:lang w:val="en-US" w:eastAsia="zh-CN"/>
              </w:rPr>
              <w:t>9.34</w:t>
            </w:r>
          </w:p>
        </w:tc>
      </w:tr>
      <w:tr w14:paraId="556ED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1063" w:type="dxa"/>
            <w:tcBorders>
              <w:tl2br w:val="nil"/>
              <w:tr2bl w:val="nil"/>
            </w:tcBorders>
            <w:vAlign w:val="center"/>
          </w:tcPr>
          <w:p w14:paraId="2E97A9D0">
            <w:pPr>
              <w:widowControl/>
              <w:spacing w:line="320" w:lineRule="exact"/>
              <w:jc w:val="center"/>
              <w:rPr>
                <w:rFonts w:hint="default" w:ascii="Times New Roman" w:hAnsi="Times New Roman" w:eastAsia="方正仿宋简体" w:cs="Times New Roman"/>
                <w:b w:val="0"/>
                <w:bCs w:val="0"/>
                <w:sz w:val="24"/>
                <w:szCs w:val="24"/>
                <w:highlight w:val="none"/>
              </w:rPr>
            </w:pPr>
            <w:r>
              <w:rPr>
                <w:rFonts w:hint="default" w:ascii="Times New Roman" w:hAnsi="Times New Roman" w:eastAsia="方正仿宋简体" w:cs="Times New Roman"/>
                <w:b w:val="0"/>
                <w:bCs w:val="0"/>
                <w:kern w:val="0"/>
                <w:sz w:val="28"/>
                <w:szCs w:val="28"/>
                <w:highlight w:val="none"/>
                <w:lang w:bidi="ar"/>
              </w:rPr>
              <w:t>—</w:t>
            </w:r>
          </w:p>
        </w:tc>
        <w:tc>
          <w:tcPr>
            <w:tcW w:w="2500" w:type="dxa"/>
            <w:tcBorders>
              <w:tl2br w:val="nil"/>
              <w:tr2bl w:val="nil"/>
            </w:tcBorders>
            <w:vAlign w:val="center"/>
          </w:tcPr>
          <w:p w14:paraId="714858AF">
            <w:pPr>
              <w:widowControl/>
              <w:spacing w:line="320" w:lineRule="exact"/>
              <w:jc w:val="center"/>
              <w:rPr>
                <w:rFonts w:hint="default" w:ascii="Times New Roman" w:hAnsi="Times New Roman" w:eastAsia="方正仿宋简体" w:cs="Times New Roman"/>
                <w:b w:val="0"/>
                <w:bCs w:val="0"/>
                <w:sz w:val="24"/>
                <w:szCs w:val="24"/>
                <w:highlight w:val="none"/>
              </w:rPr>
            </w:pPr>
            <w:r>
              <w:rPr>
                <w:rStyle w:val="10"/>
                <w:rFonts w:hint="default" w:ascii="Times New Roman" w:hAnsi="Times New Roman" w:eastAsia="方正仿宋简体" w:cs="Times New Roman"/>
                <w:b w:val="0"/>
                <w:bCs w:val="0"/>
                <w:kern w:val="0"/>
                <w:sz w:val="28"/>
                <w:szCs w:val="28"/>
                <w:highlight w:val="none"/>
                <w:lang w:bidi="ar"/>
              </w:rPr>
              <w:t>合计</w:t>
            </w:r>
          </w:p>
        </w:tc>
        <w:tc>
          <w:tcPr>
            <w:tcW w:w="2021" w:type="dxa"/>
            <w:tcBorders>
              <w:tl2br w:val="nil"/>
              <w:tr2bl w:val="nil"/>
            </w:tcBorders>
            <w:vAlign w:val="center"/>
          </w:tcPr>
          <w:p w14:paraId="1DC6209D">
            <w:pPr>
              <w:widowControl/>
              <w:spacing w:line="320" w:lineRule="exact"/>
              <w:jc w:val="center"/>
              <w:rPr>
                <w:rFonts w:hint="default" w:ascii="Times New Roman" w:hAnsi="Times New Roman" w:eastAsia="方正仿宋简体" w:cs="Times New Roman"/>
                <w:b w:val="0"/>
                <w:bCs w:val="0"/>
                <w:sz w:val="28"/>
                <w:szCs w:val="28"/>
                <w:highlight w:val="none"/>
              </w:rPr>
            </w:pPr>
            <w:r>
              <w:rPr>
                <w:rStyle w:val="10"/>
                <w:rFonts w:hint="default" w:ascii="Times New Roman" w:hAnsi="Times New Roman" w:eastAsia="方正仿宋简体" w:cs="Times New Roman"/>
                <w:b w:val="0"/>
                <w:bCs w:val="0"/>
                <w:kern w:val="0"/>
                <w:sz w:val="28"/>
                <w:szCs w:val="28"/>
                <w:highlight w:val="none"/>
                <w:lang w:bidi="ar"/>
              </w:rPr>
              <w:t>680</w:t>
            </w:r>
          </w:p>
        </w:tc>
        <w:tc>
          <w:tcPr>
            <w:tcW w:w="1937" w:type="dxa"/>
            <w:tcBorders>
              <w:tl2br w:val="nil"/>
              <w:tr2bl w:val="nil"/>
            </w:tcBorders>
            <w:vAlign w:val="center"/>
          </w:tcPr>
          <w:p w14:paraId="523B9331">
            <w:pPr>
              <w:widowControl/>
              <w:spacing w:line="320" w:lineRule="exact"/>
              <w:jc w:val="center"/>
              <w:rPr>
                <w:rFonts w:hint="default" w:ascii="Times New Roman" w:hAnsi="Times New Roman" w:eastAsia="方正仿宋简体" w:cs="Times New Roman"/>
                <w:b w:val="0"/>
                <w:bCs w:val="0"/>
                <w:sz w:val="28"/>
                <w:szCs w:val="28"/>
                <w:highlight w:val="none"/>
                <w:lang w:val="en-US" w:eastAsia="zh-CN"/>
              </w:rPr>
            </w:pPr>
            <w:r>
              <w:rPr>
                <w:rStyle w:val="10"/>
                <w:rFonts w:hint="eastAsia" w:ascii="Times New Roman" w:hAnsi="Times New Roman" w:eastAsia="方正仿宋简体" w:cs="Times New Roman"/>
                <w:b w:val="0"/>
                <w:bCs w:val="0"/>
                <w:kern w:val="0"/>
                <w:sz w:val="28"/>
                <w:szCs w:val="28"/>
                <w:highlight w:val="none"/>
                <w:lang w:val="en-US" w:eastAsia="zh-CN" w:bidi="ar"/>
              </w:rPr>
              <w:t>199.94</w:t>
            </w:r>
          </w:p>
        </w:tc>
        <w:tc>
          <w:tcPr>
            <w:tcW w:w="1483" w:type="dxa"/>
            <w:tcBorders>
              <w:tl2br w:val="nil"/>
              <w:tr2bl w:val="nil"/>
            </w:tcBorders>
            <w:vAlign w:val="center"/>
          </w:tcPr>
          <w:p w14:paraId="021B3244">
            <w:pPr>
              <w:widowControl/>
              <w:spacing w:line="320" w:lineRule="exact"/>
              <w:jc w:val="center"/>
              <w:rPr>
                <w:rFonts w:hint="default" w:ascii="Times New Roman" w:hAnsi="Times New Roman" w:eastAsia="方正仿宋简体" w:cs="Times New Roman"/>
                <w:b w:val="0"/>
                <w:bCs w:val="0"/>
                <w:sz w:val="28"/>
                <w:szCs w:val="28"/>
                <w:highlight w:val="none"/>
                <w:lang w:val="en-US" w:eastAsia="zh-CN"/>
              </w:rPr>
            </w:pPr>
            <w:r>
              <w:rPr>
                <w:rStyle w:val="10"/>
                <w:rFonts w:hint="eastAsia" w:ascii="Times New Roman" w:hAnsi="Times New Roman" w:eastAsia="方正仿宋简体" w:cs="Times New Roman"/>
                <w:b w:val="0"/>
                <w:bCs w:val="0"/>
                <w:kern w:val="0"/>
                <w:sz w:val="28"/>
                <w:szCs w:val="28"/>
                <w:highlight w:val="none"/>
                <w:lang w:val="en-US" w:eastAsia="zh-CN" w:bidi="ar"/>
              </w:rPr>
              <w:t>879.94</w:t>
            </w:r>
          </w:p>
        </w:tc>
      </w:tr>
    </w:tbl>
    <w:p w14:paraId="1061207F">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1、秸秆精细化还田作业补贴：320万元，占财政资金47.1%，符合农作物秸秆综合利用重点县项目补贴秸秆还田作业不超过费用总额50%的要求。对4万亩深耕深翻配套腐熟剂撒施的秋季还田作业环节进行补助。</w:t>
      </w:r>
    </w:p>
    <w:p w14:paraId="651B950B">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2、秸秆捡拾打捆离田作业补贴：</w:t>
      </w:r>
      <w:r>
        <w:rPr>
          <w:rFonts w:hint="eastAsia" w:ascii="Times New Roman" w:hAnsi="Times New Roman" w:eastAsia="方正仿宋简体" w:cs="Times New Roman"/>
          <w:b w:val="0"/>
          <w:bCs w:val="0"/>
          <w:sz w:val="32"/>
          <w:szCs w:val="32"/>
          <w:highlight w:val="none"/>
          <w:lang w:val="en-US" w:eastAsia="zh-CN"/>
        </w:rPr>
        <w:t>100</w:t>
      </w:r>
      <w:r>
        <w:rPr>
          <w:rFonts w:hint="default" w:ascii="Times New Roman" w:hAnsi="Times New Roman" w:eastAsia="方正仿宋简体" w:cs="Times New Roman"/>
          <w:b w:val="0"/>
          <w:bCs w:val="0"/>
          <w:sz w:val="32"/>
          <w:szCs w:val="32"/>
          <w:highlight w:val="none"/>
        </w:rPr>
        <w:t>万元，占财政资金</w:t>
      </w:r>
      <w:r>
        <w:rPr>
          <w:rFonts w:hint="eastAsia" w:ascii="Times New Roman" w:hAnsi="Times New Roman" w:eastAsia="方正仿宋简体" w:cs="Times New Roman"/>
          <w:b w:val="0"/>
          <w:bCs w:val="0"/>
          <w:sz w:val="32"/>
          <w:szCs w:val="32"/>
          <w:highlight w:val="none"/>
          <w:lang w:val="en-US" w:eastAsia="zh-CN"/>
        </w:rPr>
        <w:t>14.7</w:t>
      </w:r>
      <w:r>
        <w:rPr>
          <w:rFonts w:hint="default" w:ascii="Times New Roman" w:hAnsi="Times New Roman" w:eastAsia="方正仿宋简体" w:cs="Times New Roman"/>
          <w:b w:val="0"/>
          <w:bCs w:val="0"/>
          <w:sz w:val="32"/>
          <w:szCs w:val="32"/>
          <w:highlight w:val="none"/>
        </w:rPr>
        <w:t>%。对4万亩秸秆捡拾打捆离田作业环节进行补助。</w:t>
      </w:r>
    </w:p>
    <w:p w14:paraId="7D6B4276">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3、玉米穗茎兼收作业补贴：11</w:t>
      </w:r>
      <w:r>
        <w:rPr>
          <w:rFonts w:hint="eastAsia" w:ascii="Times New Roman" w:hAnsi="Times New Roman" w:eastAsia="方正仿宋简体" w:cs="Times New Roman"/>
          <w:b w:val="0"/>
          <w:bCs w:val="0"/>
          <w:sz w:val="32"/>
          <w:szCs w:val="32"/>
          <w:highlight w:val="none"/>
          <w:lang w:val="en-US" w:eastAsia="zh-CN"/>
        </w:rPr>
        <w:t>6</w:t>
      </w:r>
      <w:r>
        <w:rPr>
          <w:rFonts w:hint="default" w:ascii="Times New Roman" w:hAnsi="Times New Roman" w:eastAsia="方正仿宋简体" w:cs="Times New Roman"/>
          <w:b w:val="0"/>
          <w:bCs w:val="0"/>
          <w:sz w:val="32"/>
          <w:szCs w:val="32"/>
          <w:highlight w:val="none"/>
        </w:rPr>
        <w:t>万元，占财政资金1</w:t>
      </w:r>
      <w:r>
        <w:rPr>
          <w:rFonts w:hint="eastAsia" w:ascii="Times New Roman" w:hAnsi="Times New Roman" w:eastAsia="方正仿宋简体" w:cs="Times New Roman"/>
          <w:b w:val="0"/>
          <w:bCs w:val="0"/>
          <w:sz w:val="32"/>
          <w:szCs w:val="32"/>
          <w:highlight w:val="none"/>
          <w:lang w:val="en-US" w:eastAsia="zh-CN"/>
        </w:rPr>
        <w:t>7.1</w:t>
      </w:r>
      <w:r>
        <w:rPr>
          <w:rFonts w:hint="default" w:ascii="Times New Roman" w:hAnsi="Times New Roman" w:eastAsia="方正仿宋简体" w:cs="Times New Roman"/>
          <w:b w:val="0"/>
          <w:bCs w:val="0"/>
          <w:sz w:val="32"/>
          <w:szCs w:val="32"/>
          <w:highlight w:val="none"/>
        </w:rPr>
        <w:t>%。对1.</w:t>
      </w:r>
      <w:r>
        <w:rPr>
          <w:rFonts w:hint="eastAsia" w:ascii="Times New Roman" w:hAnsi="Times New Roman" w:eastAsia="方正仿宋简体" w:cs="Times New Roman"/>
          <w:b w:val="0"/>
          <w:bCs w:val="0"/>
          <w:sz w:val="32"/>
          <w:szCs w:val="32"/>
          <w:highlight w:val="none"/>
          <w:lang w:val="en-US" w:eastAsia="zh-CN"/>
        </w:rPr>
        <w:t>45</w:t>
      </w:r>
      <w:r>
        <w:rPr>
          <w:rFonts w:hint="default" w:ascii="Times New Roman" w:hAnsi="Times New Roman" w:eastAsia="方正仿宋简体" w:cs="Times New Roman"/>
          <w:b w:val="0"/>
          <w:bCs w:val="0"/>
          <w:sz w:val="32"/>
          <w:szCs w:val="32"/>
          <w:highlight w:val="none"/>
        </w:rPr>
        <w:t>万亩玉米穗茎兼收作业环节进行补助。</w:t>
      </w:r>
    </w:p>
    <w:p w14:paraId="7799B06F">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4、秸秆收储运体系建设：</w:t>
      </w:r>
      <w:r>
        <w:rPr>
          <w:rFonts w:hint="eastAsia" w:ascii="Times New Roman" w:hAnsi="Times New Roman" w:eastAsia="方正仿宋简体" w:cs="Times New Roman"/>
          <w:b w:val="0"/>
          <w:bCs w:val="0"/>
          <w:sz w:val="32"/>
          <w:szCs w:val="32"/>
          <w:highlight w:val="none"/>
          <w:lang w:val="en-US" w:eastAsia="zh-CN"/>
        </w:rPr>
        <w:t>307.6</w:t>
      </w:r>
      <w:r>
        <w:rPr>
          <w:rFonts w:hint="default" w:ascii="Times New Roman" w:hAnsi="Times New Roman" w:eastAsia="方正仿宋简体" w:cs="Times New Roman"/>
          <w:b w:val="0"/>
          <w:bCs w:val="0"/>
          <w:sz w:val="32"/>
          <w:szCs w:val="32"/>
          <w:highlight w:val="none"/>
        </w:rPr>
        <w:t>万元。其中财政资金</w:t>
      </w:r>
      <w:r>
        <w:rPr>
          <w:rFonts w:hint="eastAsia" w:ascii="Times New Roman" w:hAnsi="Times New Roman" w:eastAsia="方正仿宋简体" w:cs="Times New Roman"/>
          <w:b w:val="0"/>
          <w:bCs w:val="0"/>
          <w:sz w:val="32"/>
          <w:szCs w:val="32"/>
          <w:highlight w:val="none"/>
          <w:lang w:val="en-US" w:eastAsia="zh-CN"/>
        </w:rPr>
        <w:t>107.66</w:t>
      </w:r>
      <w:r>
        <w:rPr>
          <w:rFonts w:hint="default" w:ascii="Times New Roman" w:hAnsi="Times New Roman" w:eastAsia="方正仿宋简体" w:cs="Times New Roman"/>
          <w:b w:val="0"/>
          <w:bCs w:val="0"/>
          <w:sz w:val="32"/>
          <w:szCs w:val="32"/>
          <w:highlight w:val="none"/>
        </w:rPr>
        <w:t>万元，占财政资金1</w:t>
      </w:r>
      <w:r>
        <w:rPr>
          <w:rFonts w:hint="eastAsia" w:ascii="Times New Roman" w:hAnsi="Times New Roman" w:eastAsia="方正仿宋简体" w:cs="Times New Roman"/>
          <w:b w:val="0"/>
          <w:bCs w:val="0"/>
          <w:sz w:val="32"/>
          <w:szCs w:val="32"/>
          <w:highlight w:val="none"/>
          <w:lang w:val="en-US" w:eastAsia="zh-CN"/>
        </w:rPr>
        <w:t>5</w:t>
      </w:r>
      <w:r>
        <w:rPr>
          <w:rFonts w:hint="default" w:ascii="Times New Roman" w:hAnsi="Times New Roman" w:eastAsia="方正仿宋简体" w:cs="Times New Roman"/>
          <w:b w:val="0"/>
          <w:bCs w:val="0"/>
          <w:sz w:val="32"/>
          <w:szCs w:val="32"/>
          <w:highlight w:val="none"/>
        </w:rPr>
        <w:t>.8%。重点支持秸秆收储作业主体购置搂草机、秸秆捡拾打捆机等机具，补贴购置秸秆收储离田作业机具1</w:t>
      </w:r>
      <w:r>
        <w:rPr>
          <w:rFonts w:hint="eastAsia" w:ascii="Times New Roman" w:hAnsi="Times New Roman" w:eastAsia="方正仿宋简体" w:cs="Times New Roman"/>
          <w:b w:val="0"/>
          <w:bCs w:val="0"/>
          <w:sz w:val="32"/>
          <w:szCs w:val="32"/>
          <w:highlight w:val="none"/>
          <w:lang w:val="en-US" w:eastAsia="zh-CN"/>
        </w:rPr>
        <w:t>0</w:t>
      </w:r>
      <w:r>
        <w:rPr>
          <w:rFonts w:hint="default" w:ascii="Times New Roman" w:hAnsi="Times New Roman" w:eastAsia="方正仿宋简体" w:cs="Times New Roman"/>
          <w:b w:val="0"/>
          <w:bCs w:val="0"/>
          <w:sz w:val="32"/>
          <w:szCs w:val="32"/>
          <w:highlight w:val="none"/>
        </w:rPr>
        <w:t>台。</w:t>
      </w:r>
    </w:p>
    <w:p w14:paraId="6D6158E6">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5、秸秆还田效果监测：27万元，占财政资金4.0%。用于布设还田生态效应监测点，开展秸秆还田效果监测与评价，开展农作物秸秆资源和利用情况调查。</w:t>
      </w:r>
    </w:p>
    <w:p w14:paraId="1FEF7F74">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eastAsia" w:ascii="Times New Roman" w:hAnsi="Times New Roman" w:eastAsia="方正仿宋简体" w:cs="Times New Roman"/>
          <w:b w:val="0"/>
          <w:bCs w:val="0"/>
          <w:sz w:val="32"/>
          <w:szCs w:val="32"/>
          <w:highlight w:val="none"/>
          <w:lang w:val="en-US" w:eastAsia="zh-CN"/>
        </w:rPr>
        <w:t>6</w:t>
      </w:r>
      <w:r>
        <w:rPr>
          <w:rFonts w:hint="default" w:ascii="Times New Roman" w:hAnsi="Times New Roman" w:eastAsia="方正仿宋简体" w:cs="Times New Roman"/>
          <w:b w:val="0"/>
          <w:bCs w:val="0"/>
          <w:sz w:val="32"/>
          <w:szCs w:val="32"/>
          <w:highlight w:val="none"/>
        </w:rPr>
        <w:t>、宣传培训及项目验收等：9.</w:t>
      </w:r>
      <w:r>
        <w:rPr>
          <w:rFonts w:hint="eastAsia" w:ascii="Times New Roman" w:hAnsi="Times New Roman" w:eastAsia="方正仿宋简体" w:cs="Times New Roman"/>
          <w:b w:val="0"/>
          <w:bCs w:val="0"/>
          <w:sz w:val="32"/>
          <w:szCs w:val="32"/>
          <w:highlight w:val="none"/>
          <w:lang w:val="en-US" w:eastAsia="zh-CN"/>
        </w:rPr>
        <w:t>34</w:t>
      </w:r>
      <w:r>
        <w:rPr>
          <w:rFonts w:hint="default" w:ascii="Times New Roman" w:hAnsi="Times New Roman" w:eastAsia="方正仿宋简体" w:cs="Times New Roman"/>
          <w:b w:val="0"/>
          <w:bCs w:val="0"/>
          <w:sz w:val="32"/>
          <w:szCs w:val="32"/>
          <w:highlight w:val="none"/>
        </w:rPr>
        <w:t>万元，占财政资金1.4%。用于举办培训观摩会、技术资料编印、宣传推广和项目咨询等。</w:t>
      </w:r>
    </w:p>
    <w:p w14:paraId="123E4D5C">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outlineLvl w:val="1"/>
        <w:rPr>
          <w:rFonts w:hint="default" w:ascii="Times New Roman" w:hAnsi="Times New Roman" w:eastAsia="方正楷体简体" w:cs="Times New Roman"/>
          <w:b w:val="0"/>
          <w:bCs w:val="0"/>
          <w:sz w:val="32"/>
          <w:szCs w:val="32"/>
          <w:highlight w:val="none"/>
        </w:rPr>
      </w:pPr>
      <w:r>
        <w:rPr>
          <w:rFonts w:hint="default" w:ascii="Times New Roman" w:hAnsi="Times New Roman" w:eastAsia="方正楷体简体" w:cs="Times New Roman"/>
          <w:b w:val="0"/>
          <w:bCs w:val="0"/>
          <w:sz w:val="32"/>
          <w:szCs w:val="32"/>
          <w:highlight w:val="none"/>
        </w:rPr>
        <w:t>（四）资金兑付程序</w:t>
      </w:r>
    </w:p>
    <w:p w14:paraId="0ED0D82B">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各镇（街）从省级以上合作社示范社、济宁市“济时雨”农业社会化服务品牌、市级以上区域农机社会化服务中心和秸秆规模化收储利用市场主体中推荐了19家实施主体。区农业农村局通过实地考察实施主体，公开透明分配项目任务。实施主体完成作业任务、购置机具后，向镇（街）提交补助、补贴申请，镇（街）初审后报区农业农村局，区农业农村局进行复核，审核通过后在区政府网站和项目实施地公示不少于7个工作日。资金拨付按照“先建后补”原则，项目建成验收合格后拨付中央补助资金。</w:t>
      </w:r>
    </w:p>
    <w:p w14:paraId="514A65D1">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outlineLvl w:val="0"/>
        <w:rPr>
          <w:rFonts w:hint="default" w:ascii="Times New Roman" w:hAnsi="Times New Roman" w:eastAsia="方正黑体简体" w:cs="Times New Roman"/>
          <w:b w:val="0"/>
          <w:bCs w:val="0"/>
          <w:sz w:val="32"/>
          <w:szCs w:val="32"/>
          <w:highlight w:val="none"/>
        </w:rPr>
      </w:pPr>
      <w:r>
        <w:rPr>
          <w:rFonts w:hint="default" w:ascii="Times New Roman" w:hAnsi="Times New Roman" w:eastAsia="方正黑体简体" w:cs="Times New Roman"/>
          <w:b w:val="0"/>
          <w:bCs w:val="0"/>
          <w:sz w:val="32"/>
          <w:szCs w:val="32"/>
          <w:highlight w:val="none"/>
        </w:rPr>
        <w:t>七、项目实施安排</w:t>
      </w:r>
    </w:p>
    <w:p w14:paraId="5025A115">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rPr>
        <w:t>农作物秸秆综合利用重点县项目建设实施期限为2026年4月—2026年12月。具体按以下三个阶段实施：</w:t>
      </w:r>
    </w:p>
    <w:p w14:paraId="25F119CF">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outlineLvl w:val="1"/>
        <w:rPr>
          <w:rFonts w:hint="default" w:ascii="Times New Roman" w:hAnsi="Times New Roman" w:eastAsia="方正楷体简体" w:cs="Times New Roman"/>
          <w:b w:val="0"/>
          <w:bCs w:val="0"/>
          <w:sz w:val="32"/>
          <w:szCs w:val="32"/>
          <w:highlight w:val="none"/>
        </w:rPr>
      </w:pPr>
      <w:r>
        <w:rPr>
          <w:rFonts w:hint="default" w:ascii="Times New Roman" w:hAnsi="Times New Roman" w:eastAsia="方正楷体简体" w:cs="Times New Roman"/>
          <w:b w:val="0"/>
          <w:bCs w:val="0"/>
          <w:sz w:val="32"/>
          <w:szCs w:val="32"/>
          <w:highlight w:val="none"/>
          <w:lang w:eastAsia="zh-CN"/>
        </w:rPr>
        <w:t>（一）</w:t>
      </w:r>
      <w:r>
        <w:rPr>
          <w:rFonts w:hint="default" w:ascii="Times New Roman" w:hAnsi="Times New Roman" w:eastAsia="方正楷体简体" w:cs="Times New Roman"/>
          <w:b w:val="0"/>
          <w:bCs w:val="0"/>
          <w:sz w:val="32"/>
          <w:szCs w:val="32"/>
          <w:highlight w:val="none"/>
        </w:rPr>
        <w:t>方案制定阶段</w:t>
      </w:r>
    </w:p>
    <w:p w14:paraId="73476576">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lang w:val="en-US" w:eastAsia="zh-CN"/>
        </w:rPr>
        <w:t>1、</w:t>
      </w:r>
      <w:r>
        <w:rPr>
          <w:rFonts w:hint="default" w:ascii="Times New Roman" w:hAnsi="Times New Roman" w:eastAsia="方正仿宋简体" w:cs="Times New Roman"/>
          <w:b w:val="0"/>
          <w:bCs w:val="0"/>
          <w:sz w:val="32"/>
          <w:szCs w:val="32"/>
          <w:highlight w:val="none"/>
        </w:rPr>
        <w:t>调查发动（2026年4月）。对全区农作物秸秆综合利用工作进行调研，开展数据分析，科学细化项目实施方案。</w:t>
      </w:r>
    </w:p>
    <w:p w14:paraId="5FD8D7B3">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lang w:val="en-US" w:eastAsia="zh-CN"/>
        </w:rPr>
        <w:t>2、</w:t>
      </w:r>
      <w:r>
        <w:rPr>
          <w:rFonts w:hint="default" w:ascii="Times New Roman" w:hAnsi="Times New Roman" w:eastAsia="方正仿宋简体" w:cs="Times New Roman"/>
          <w:b w:val="0"/>
          <w:bCs w:val="0"/>
          <w:sz w:val="32"/>
          <w:szCs w:val="32"/>
          <w:highlight w:val="none"/>
        </w:rPr>
        <w:t>落实任务（2026年5月至7月）。完成项目实施方案编制。成立项目建设领导小组和技术指导小组，确定补助对象和补助标准。开展实施主体遴选，签订项目实施合同，核实任务数量和实施区域。</w:t>
      </w:r>
    </w:p>
    <w:p w14:paraId="4216D3D1">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outlineLvl w:val="1"/>
        <w:rPr>
          <w:rFonts w:hint="default" w:ascii="Times New Roman" w:hAnsi="Times New Roman" w:eastAsia="方正楷体简体" w:cs="Times New Roman"/>
          <w:b w:val="0"/>
          <w:bCs w:val="0"/>
          <w:sz w:val="32"/>
          <w:szCs w:val="32"/>
          <w:highlight w:val="none"/>
          <w:lang w:eastAsia="zh-CN"/>
        </w:rPr>
      </w:pPr>
      <w:r>
        <w:rPr>
          <w:rFonts w:hint="default" w:ascii="Times New Roman" w:hAnsi="Times New Roman" w:eastAsia="方正楷体简体" w:cs="Times New Roman"/>
          <w:b w:val="0"/>
          <w:bCs w:val="0"/>
          <w:sz w:val="32"/>
          <w:szCs w:val="32"/>
          <w:highlight w:val="none"/>
          <w:lang w:eastAsia="zh-CN"/>
        </w:rPr>
        <w:t>（二）组织实施阶段</w:t>
      </w:r>
    </w:p>
    <w:p w14:paraId="4537927B">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lang w:val="en-US" w:eastAsia="zh-CN"/>
        </w:rPr>
        <w:t>3、</w:t>
      </w:r>
      <w:r>
        <w:rPr>
          <w:rFonts w:hint="default" w:ascii="Times New Roman" w:hAnsi="Times New Roman" w:eastAsia="方正仿宋简体" w:cs="Times New Roman"/>
          <w:b w:val="0"/>
          <w:bCs w:val="0"/>
          <w:sz w:val="32"/>
          <w:szCs w:val="32"/>
          <w:highlight w:val="none"/>
        </w:rPr>
        <w:t>开始组织实施（2026年7月至8月）。政府采购秸秆腐熟剂，组织承担主体购置相关秸秆收储离田作业机械，指导项目实施主体与服务对象落实作业区域，签订作业协议。通过公开程序与相关机构签订秸秆还田效果监测协议。开展技术培训。</w:t>
      </w:r>
    </w:p>
    <w:p w14:paraId="3E8F9AFF">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lang w:val="en-US" w:eastAsia="zh-CN"/>
        </w:rPr>
        <w:t>4、</w:t>
      </w:r>
      <w:r>
        <w:rPr>
          <w:rFonts w:hint="default" w:ascii="Times New Roman" w:hAnsi="Times New Roman" w:eastAsia="方正仿宋简体" w:cs="Times New Roman"/>
          <w:b w:val="0"/>
          <w:bCs w:val="0"/>
          <w:sz w:val="32"/>
          <w:szCs w:val="32"/>
          <w:highlight w:val="none"/>
        </w:rPr>
        <w:t>组织实施关键阶段（2026年9月至10月）。组织项目实施主体抢抓农时，按照作业规范和作业标准按期完成黄贮秸秆收集、秸秆精细化还田、深耕深翻、腐熟剂撒施等作业任务。举办现场观摩活动。作业任务完成后及时做好相关资料整理工作，为下步项目验收做好准备。</w:t>
      </w:r>
    </w:p>
    <w:p w14:paraId="32314B0D">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outlineLvl w:val="1"/>
        <w:rPr>
          <w:rFonts w:hint="default" w:ascii="Times New Roman" w:hAnsi="Times New Roman" w:eastAsia="方正楷体简体" w:cs="Times New Roman"/>
          <w:b w:val="0"/>
          <w:bCs w:val="0"/>
          <w:sz w:val="32"/>
          <w:szCs w:val="32"/>
          <w:highlight w:val="none"/>
          <w:lang w:eastAsia="zh-CN"/>
        </w:rPr>
      </w:pPr>
      <w:r>
        <w:rPr>
          <w:rFonts w:hint="default" w:ascii="Times New Roman" w:hAnsi="Times New Roman" w:eastAsia="方正楷体简体" w:cs="Times New Roman"/>
          <w:b w:val="0"/>
          <w:bCs w:val="0"/>
          <w:sz w:val="32"/>
          <w:szCs w:val="32"/>
          <w:highlight w:val="none"/>
          <w:lang w:eastAsia="zh-CN"/>
        </w:rPr>
        <w:t>（三）总结验收阶段</w:t>
      </w:r>
    </w:p>
    <w:p w14:paraId="73315577">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仿宋简体" w:cs="Times New Roman"/>
          <w:b w:val="0"/>
          <w:bCs w:val="0"/>
          <w:sz w:val="32"/>
          <w:szCs w:val="32"/>
          <w:highlight w:val="none"/>
          <w:lang w:val="en-US" w:eastAsia="zh-CN"/>
        </w:rPr>
        <w:t>5、</w:t>
      </w:r>
      <w:r>
        <w:rPr>
          <w:rFonts w:hint="default" w:ascii="Times New Roman" w:hAnsi="Times New Roman" w:eastAsia="方正仿宋简体" w:cs="Times New Roman"/>
          <w:b w:val="0"/>
          <w:bCs w:val="0"/>
          <w:sz w:val="32"/>
          <w:szCs w:val="32"/>
          <w:highlight w:val="none"/>
        </w:rPr>
        <w:t>项目验收（2026年11月至12月）。任务目标全面完成后，各实施主体按要求提交验收申请，区农业农村局协调各镇（街）组织做好项目验收工作。</w:t>
      </w:r>
    </w:p>
    <w:p w14:paraId="6EB667E4">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outlineLvl w:val="0"/>
        <w:rPr>
          <w:rFonts w:hint="default" w:ascii="Times New Roman" w:hAnsi="Times New Roman" w:eastAsia="方正黑体简体" w:cs="Times New Roman"/>
          <w:b w:val="0"/>
          <w:bCs w:val="0"/>
          <w:sz w:val="32"/>
          <w:szCs w:val="32"/>
          <w:highlight w:val="none"/>
        </w:rPr>
      </w:pPr>
      <w:r>
        <w:rPr>
          <w:rFonts w:hint="default" w:ascii="Times New Roman" w:hAnsi="Times New Roman" w:eastAsia="方正黑体简体" w:cs="Times New Roman"/>
          <w:b w:val="0"/>
          <w:bCs w:val="0"/>
          <w:sz w:val="32"/>
          <w:szCs w:val="32"/>
          <w:highlight w:val="none"/>
        </w:rPr>
        <w:t>八、组织管理与保障措施</w:t>
      </w:r>
    </w:p>
    <w:p w14:paraId="551EE09B">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楷体简体" w:cs="Times New Roman"/>
          <w:b w:val="0"/>
          <w:bCs w:val="0"/>
          <w:sz w:val="32"/>
          <w:szCs w:val="32"/>
          <w:highlight w:val="none"/>
        </w:rPr>
        <w:t>（一）强化组织领导。</w:t>
      </w:r>
      <w:r>
        <w:rPr>
          <w:rFonts w:hint="default" w:ascii="Times New Roman" w:hAnsi="Times New Roman" w:eastAsia="方正仿宋简体" w:cs="Times New Roman"/>
          <w:b w:val="0"/>
          <w:bCs w:val="0"/>
          <w:sz w:val="32"/>
          <w:szCs w:val="32"/>
          <w:highlight w:val="none"/>
        </w:rPr>
        <w:t>成立兖州区2026年农作物秸秆综合利用重点县项目建设领导小组，统筹协调项目实施。成立秸秆综合利用技术指导小组，深入项目实施一线提供技术指导和培训服务。各项目镇（街）相应成立工作推进小组，负责辖区内项目的组织实施和协调服务。</w:t>
      </w:r>
    </w:p>
    <w:p w14:paraId="3A69B4A2">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楷体简体" w:cs="Times New Roman"/>
          <w:b w:val="0"/>
          <w:bCs w:val="0"/>
          <w:sz w:val="32"/>
          <w:szCs w:val="32"/>
          <w:highlight w:val="none"/>
        </w:rPr>
        <w:t>（二）加大政策支持。</w:t>
      </w:r>
      <w:r>
        <w:rPr>
          <w:rFonts w:hint="default" w:ascii="Times New Roman" w:hAnsi="Times New Roman" w:eastAsia="方正仿宋简体" w:cs="Times New Roman"/>
          <w:b w:val="0"/>
          <w:bCs w:val="0"/>
          <w:sz w:val="32"/>
          <w:szCs w:val="32"/>
          <w:highlight w:val="none"/>
        </w:rPr>
        <w:t>积极落实农机购置与应用补贴政策和农机报废更新政策，提高全区秸秆还田和离田机械保有量。科学指导项目实施主体选购先进适用农业机械。</w:t>
      </w:r>
    </w:p>
    <w:p w14:paraId="01A464CA">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楷体简体" w:cs="Times New Roman"/>
          <w:b w:val="0"/>
          <w:bCs w:val="0"/>
          <w:sz w:val="32"/>
          <w:szCs w:val="32"/>
          <w:highlight w:val="none"/>
        </w:rPr>
        <w:t>（三）严格资金保障。</w:t>
      </w:r>
      <w:r>
        <w:rPr>
          <w:rFonts w:hint="default" w:ascii="Times New Roman" w:hAnsi="Times New Roman" w:eastAsia="方正仿宋简体" w:cs="Times New Roman"/>
          <w:b w:val="0"/>
          <w:bCs w:val="0"/>
          <w:sz w:val="32"/>
          <w:szCs w:val="32"/>
          <w:highlight w:val="none"/>
        </w:rPr>
        <w:t>中央财政补助资金实行专账管理、专款专用，严格按照资金管理规定使用。引导社会资本参与，拓宽资金来源渠道。按照先建后补的原则，积极筹措资金，做好农机具购置等工作，确保新购农机及时到位，作业农机设备正常工作，不误农时。</w:t>
      </w:r>
    </w:p>
    <w:p w14:paraId="0DCBD02E">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楷体简体" w:cs="Times New Roman"/>
          <w:b w:val="0"/>
          <w:bCs w:val="0"/>
          <w:sz w:val="32"/>
          <w:szCs w:val="32"/>
          <w:highlight w:val="none"/>
        </w:rPr>
        <w:t>（四）强化技术指导。</w:t>
      </w:r>
      <w:r>
        <w:rPr>
          <w:rFonts w:hint="default" w:ascii="Times New Roman" w:hAnsi="Times New Roman" w:eastAsia="方正仿宋简体" w:cs="Times New Roman"/>
          <w:b w:val="0"/>
          <w:bCs w:val="0"/>
          <w:sz w:val="32"/>
          <w:szCs w:val="32"/>
          <w:highlight w:val="none"/>
        </w:rPr>
        <w:t>加强秸秆综合利用技术指导，坚持农机农艺相结合，适时发布秸秆综合利用新技术、新工艺、新机具，不断加大对秸秆资源化利用技术和高性能农机具的推广力度，深入开展技术培训。</w:t>
      </w:r>
    </w:p>
    <w:p w14:paraId="504B4546">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楷体简体" w:cs="Times New Roman"/>
          <w:b w:val="0"/>
          <w:bCs w:val="0"/>
          <w:sz w:val="32"/>
          <w:szCs w:val="32"/>
          <w:highlight w:val="none"/>
        </w:rPr>
        <w:t>（五）加强监督管理。</w:t>
      </w:r>
      <w:r>
        <w:rPr>
          <w:rFonts w:hint="default" w:ascii="Times New Roman" w:hAnsi="Times New Roman" w:eastAsia="方正仿宋简体" w:cs="Times New Roman"/>
          <w:b w:val="0"/>
          <w:bCs w:val="0"/>
          <w:sz w:val="32"/>
          <w:szCs w:val="32"/>
          <w:highlight w:val="none"/>
        </w:rPr>
        <w:t>建立项目进展定期调度制度，对发现的问题及时督促整改。公开项目补贴政策和补助标准，在区政府网站和项目实施地设立公示栏，接受群众和社会监督。严格按照项目验收标准开展资金兑付工作。</w:t>
      </w:r>
    </w:p>
    <w:p w14:paraId="20C0E2CE">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楷体简体" w:cs="Times New Roman"/>
          <w:b w:val="0"/>
          <w:bCs w:val="0"/>
          <w:sz w:val="32"/>
          <w:szCs w:val="32"/>
          <w:highlight w:val="none"/>
        </w:rPr>
        <w:t>（六）加强宣传发动。</w:t>
      </w:r>
      <w:r>
        <w:rPr>
          <w:rFonts w:hint="default" w:ascii="Times New Roman" w:hAnsi="Times New Roman" w:eastAsia="方正仿宋简体" w:cs="Times New Roman"/>
          <w:b w:val="0"/>
          <w:bCs w:val="0"/>
          <w:sz w:val="32"/>
          <w:szCs w:val="32"/>
          <w:highlight w:val="none"/>
        </w:rPr>
        <w:t>通过召开现场会、印发技术资料等形式，将秸秆精细化还田、秸秆离田及秸秆收储体系建设工作宣传到位，充分提高农民群众对农作物秸秆综合利用工作的认识，促进项目实施工作的开展。</w:t>
      </w:r>
    </w:p>
    <w:p w14:paraId="22B4D71A">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outlineLvl w:val="0"/>
        <w:rPr>
          <w:rFonts w:hint="default" w:ascii="Times New Roman" w:hAnsi="Times New Roman" w:eastAsia="方正黑体简体" w:cs="Times New Roman"/>
          <w:b w:val="0"/>
          <w:bCs w:val="0"/>
          <w:sz w:val="32"/>
          <w:szCs w:val="32"/>
          <w:highlight w:val="none"/>
        </w:rPr>
      </w:pPr>
      <w:r>
        <w:rPr>
          <w:rFonts w:hint="default" w:ascii="Times New Roman" w:hAnsi="Times New Roman" w:eastAsia="方正黑体简体" w:cs="Times New Roman"/>
          <w:b w:val="0"/>
          <w:bCs w:val="0"/>
          <w:sz w:val="32"/>
          <w:szCs w:val="32"/>
          <w:highlight w:val="none"/>
        </w:rPr>
        <w:t>九、效益分析</w:t>
      </w:r>
    </w:p>
    <w:p w14:paraId="3BD165B8">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楷体简体" w:cs="Times New Roman"/>
          <w:b w:val="0"/>
          <w:bCs w:val="0"/>
          <w:sz w:val="32"/>
          <w:szCs w:val="32"/>
          <w:highlight w:val="none"/>
        </w:rPr>
        <w:t>（一）经济效益。</w:t>
      </w:r>
      <w:r>
        <w:rPr>
          <w:rFonts w:hint="default" w:ascii="Times New Roman" w:hAnsi="Times New Roman" w:eastAsia="方正仿宋简体" w:cs="Times New Roman"/>
          <w:b w:val="0"/>
          <w:bCs w:val="0"/>
          <w:sz w:val="32"/>
          <w:szCs w:val="32"/>
          <w:highlight w:val="none"/>
        </w:rPr>
        <w:t>节本增收效益。实施秸秆精细化还田4万亩，通过深耕深翻、腐熟还田改善土壤结构，预计可减少化肥施用量10%-15%，亩均可节约化肥成本30-50元，年节本120-200万元。秸秆离田5.</w:t>
      </w:r>
      <w:r>
        <w:rPr>
          <w:rFonts w:hint="eastAsia" w:ascii="Times New Roman" w:hAnsi="Times New Roman" w:eastAsia="方正仿宋简体" w:cs="Times New Roman"/>
          <w:b w:val="0"/>
          <w:bCs w:val="0"/>
          <w:sz w:val="32"/>
          <w:szCs w:val="32"/>
          <w:highlight w:val="none"/>
          <w:lang w:val="en-US" w:eastAsia="zh-CN"/>
        </w:rPr>
        <w:t>45</w:t>
      </w:r>
      <w:r>
        <w:rPr>
          <w:rFonts w:hint="default" w:ascii="Times New Roman" w:hAnsi="Times New Roman" w:eastAsia="方正仿宋简体" w:cs="Times New Roman"/>
          <w:b w:val="0"/>
          <w:bCs w:val="0"/>
          <w:sz w:val="32"/>
          <w:szCs w:val="32"/>
          <w:highlight w:val="none"/>
        </w:rPr>
        <w:t>万亩，可收集玉米秸秆3万吨以上，为饲料化、能源化利用提供充足原料，预计新增秸秆加工产值</w:t>
      </w:r>
      <w:r>
        <w:rPr>
          <w:rFonts w:hint="eastAsia" w:ascii="Times New Roman" w:hAnsi="Times New Roman" w:eastAsia="方正仿宋简体" w:cs="Times New Roman"/>
          <w:b w:val="0"/>
          <w:bCs w:val="0"/>
          <w:sz w:val="32"/>
          <w:szCs w:val="32"/>
          <w:highlight w:val="none"/>
          <w:lang w:val="en-US" w:eastAsia="zh-CN"/>
        </w:rPr>
        <w:t>6</w:t>
      </w:r>
      <w:r>
        <w:rPr>
          <w:rFonts w:hint="default" w:ascii="Times New Roman" w:hAnsi="Times New Roman" w:eastAsia="方正仿宋简体" w:cs="Times New Roman"/>
          <w:b w:val="0"/>
          <w:bCs w:val="0"/>
          <w:sz w:val="32"/>
          <w:szCs w:val="32"/>
          <w:highlight w:val="none"/>
        </w:rPr>
        <w:t>00万元以上。秸秆打捆离田作业可减少农民的生产作业支出、减少病虫害发生，增加农民和村集体经济收入。农作物秸秆综合利用从源头上消除秸秆焚烧隐患，减少政府开展秸秆禁烧的行政成本。</w:t>
      </w:r>
    </w:p>
    <w:p w14:paraId="552D3CCD">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rFonts w:hint="default" w:ascii="Times New Roman" w:hAnsi="Times New Roman" w:eastAsia="方正仿宋简体" w:cs="Times New Roman"/>
          <w:b w:val="0"/>
          <w:bCs w:val="0"/>
          <w:sz w:val="32"/>
          <w:szCs w:val="32"/>
          <w:highlight w:val="none"/>
        </w:rPr>
      </w:pPr>
      <w:r>
        <w:rPr>
          <w:rFonts w:hint="default" w:ascii="Times New Roman" w:hAnsi="Times New Roman" w:eastAsia="方正楷体简体" w:cs="Times New Roman"/>
          <w:b w:val="0"/>
          <w:bCs w:val="0"/>
          <w:sz w:val="32"/>
          <w:szCs w:val="32"/>
          <w:highlight w:val="none"/>
        </w:rPr>
        <w:t>（二）社会效益。</w:t>
      </w:r>
      <w:r>
        <w:rPr>
          <w:rFonts w:hint="default" w:ascii="Times New Roman" w:hAnsi="Times New Roman" w:eastAsia="方正仿宋简体" w:cs="Times New Roman"/>
          <w:b w:val="0"/>
          <w:bCs w:val="0"/>
          <w:sz w:val="32"/>
          <w:szCs w:val="32"/>
          <w:highlight w:val="none"/>
        </w:rPr>
        <w:t>通过秸秆捡拾打捆离田、收储运体系建设，拓宽农民增收渠道，带动农机手、收储从业人员就业。有效解决秸秆乱堆乱放问题，改善村容村貌，建设宜居宜业和美乡村。增强社会环保意识，通过宣传推广，营造关注秸秆综合利用、参与秸秆综合利用的良好社会氛围。</w:t>
      </w:r>
    </w:p>
    <w:p w14:paraId="6E9DFE21">
      <w:pPr>
        <w:pBdr>
          <w:top w:val="none" w:color="000000" w:sz="0" w:space="0"/>
          <w:left w:val="none" w:color="000000" w:sz="0" w:space="0"/>
          <w:bottom w:val="none" w:color="000000" w:sz="0" w:space="21"/>
          <w:right w:val="none" w:color="000000" w:sz="0" w:space="10"/>
        </w:pBdr>
        <w:adjustRightInd w:val="0"/>
        <w:snapToGrid w:val="0"/>
        <w:spacing w:line="580" w:lineRule="exact"/>
        <w:ind w:firstLine="640" w:firstLineChars="200"/>
        <w:contextualSpacing/>
        <w:rPr>
          <w:sz w:val="60"/>
        </w:rPr>
      </w:pPr>
      <w:r>
        <w:rPr>
          <w:rFonts w:hint="default" w:ascii="Times New Roman" w:hAnsi="Times New Roman" w:eastAsia="方正楷体简体" w:cs="Times New Roman"/>
          <w:b w:val="0"/>
          <w:bCs w:val="0"/>
          <w:sz w:val="32"/>
          <w:szCs w:val="32"/>
          <w:highlight w:val="none"/>
        </w:rPr>
        <w:t>（三）生态效益。</w:t>
      </w:r>
      <w:r>
        <w:rPr>
          <w:rFonts w:hint="default" w:ascii="Times New Roman" w:hAnsi="Times New Roman" w:eastAsia="方正仿宋简体" w:cs="Times New Roman"/>
          <w:b w:val="0"/>
          <w:bCs w:val="0"/>
          <w:sz w:val="32"/>
          <w:szCs w:val="32"/>
          <w:highlight w:val="none"/>
        </w:rPr>
        <w:t>持续实施秸秆精细化还田，可使土壤有机质含量提升土壤容重降低，蓄水保墒能力增强，有利于耕地质量保护和提升。秸秆精细化还田后化肥减量使用，减少了化肥流失造成的面源污染。杜绝秸秆露天焚烧，有效减少烟尘、PM2.5等污染物排放，改善区域环境空气质量，巩固全区秸秆禁烧成果。秸秆综合利用实现变废为宝，兼顾农户增收、产业发展、就业带动、生态保护多重目标，达成经济效益、社会效益、生态效益三方共赢，能够为农业绿色可持续发展与乡村全面振兴提供更多助力。</w:t>
      </w:r>
    </w:p>
    <w:p w14:paraId="708D0B1B">
      <w:pPr>
        <w:pBdr>
          <w:top w:val="none" w:color="000000" w:sz="0" w:space="0"/>
          <w:left w:val="none" w:color="000000" w:sz="0" w:space="0"/>
          <w:bottom w:val="none" w:color="000000" w:sz="0" w:space="21"/>
          <w:right w:val="none" w:color="000000" w:sz="0" w:space="10"/>
        </w:pBdr>
        <w:adjustRightInd w:val="0"/>
        <w:snapToGrid w:val="0"/>
        <w:spacing w:line="580" w:lineRule="exact"/>
        <w:contextualSpacing/>
        <w:rPr>
          <w:rFonts w:hint="default" w:ascii="Times New Roman" w:hAnsi="Times New Roman" w:eastAsia="方正黑体简体" w:cs="Times New Roman"/>
          <w:b w:val="0"/>
          <w:bCs w:val="0"/>
          <w:sz w:val="32"/>
          <w:szCs w:val="32"/>
          <w:highlight w:val="none"/>
        </w:rPr>
      </w:pPr>
    </w:p>
    <w:p w14:paraId="594E2B5E">
      <w:pPr>
        <w:pBdr>
          <w:top w:val="none" w:color="000000" w:sz="0" w:space="0"/>
          <w:left w:val="none" w:color="000000" w:sz="0" w:space="0"/>
          <w:bottom w:val="none" w:color="000000" w:sz="0" w:space="21"/>
          <w:right w:val="none" w:color="000000" w:sz="0" w:space="10"/>
        </w:pBdr>
        <w:adjustRightInd w:val="0"/>
        <w:snapToGrid w:val="0"/>
        <w:spacing w:line="580" w:lineRule="exact"/>
        <w:contextualSpacing/>
        <w:rPr>
          <w:rFonts w:hint="default" w:ascii="Times New Roman" w:hAnsi="Times New Roman" w:eastAsia="方正黑体简体" w:cs="Times New Roman"/>
          <w:b w:val="0"/>
          <w:bCs w:val="0"/>
          <w:sz w:val="32"/>
          <w:szCs w:val="32"/>
          <w:highlight w:val="none"/>
        </w:rPr>
      </w:pPr>
    </w:p>
    <w:p w14:paraId="6E4415EB">
      <w:pPr>
        <w:pBdr>
          <w:top w:val="none" w:color="000000" w:sz="0" w:space="0"/>
          <w:left w:val="none" w:color="000000" w:sz="0" w:space="0"/>
          <w:bottom w:val="none" w:color="000000" w:sz="0" w:space="21"/>
          <w:right w:val="none" w:color="000000" w:sz="0" w:space="10"/>
        </w:pBdr>
        <w:adjustRightInd w:val="0"/>
        <w:snapToGrid w:val="0"/>
        <w:spacing w:line="580" w:lineRule="exact"/>
        <w:contextualSpacing/>
        <w:rPr>
          <w:rFonts w:hint="eastAsia" w:ascii="Times New Roman" w:hAnsi="Times New Roman" w:eastAsia="方正仿宋简体" w:cs="Times New Roman"/>
          <w:b w:val="0"/>
          <w:bCs w:val="0"/>
          <w:sz w:val="32"/>
          <w:szCs w:val="32"/>
          <w:highlight w:val="none"/>
          <w:lang w:val="en-US" w:eastAsia="zh-CN"/>
        </w:rPr>
      </w:pPr>
      <w:r>
        <w:rPr>
          <w:rFonts w:hint="eastAsia" w:ascii="Times New Roman" w:hAnsi="Times New Roman" w:eastAsia="方正黑体简体" w:cs="Times New Roman"/>
          <w:b w:val="0"/>
          <w:bCs w:val="0"/>
          <w:sz w:val="32"/>
          <w:szCs w:val="32"/>
          <w:highlight w:val="none"/>
          <w:lang w:val="en-US" w:eastAsia="zh-CN"/>
        </w:rPr>
        <w:t xml:space="preserve">                                           </w:t>
      </w:r>
      <w:r>
        <w:rPr>
          <w:rFonts w:hint="eastAsia" w:ascii="Times New Roman" w:hAnsi="Times New Roman" w:eastAsia="方正仿宋简体" w:cs="Times New Roman"/>
          <w:b w:val="0"/>
          <w:bCs w:val="0"/>
          <w:sz w:val="32"/>
          <w:szCs w:val="32"/>
          <w:highlight w:val="none"/>
          <w:lang w:val="en-US" w:eastAsia="zh-CN"/>
        </w:rPr>
        <w:t xml:space="preserve">  济宁市兖州区农业农村局</w:t>
      </w:r>
    </w:p>
    <w:p w14:paraId="0C648418">
      <w:pPr>
        <w:pBdr>
          <w:top w:val="none" w:color="000000" w:sz="0" w:space="0"/>
          <w:left w:val="none" w:color="000000" w:sz="0" w:space="0"/>
          <w:bottom w:val="none" w:color="000000" w:sz="0" w:space="21"/>
          <w:right w:val="none" w:color="000000" w:sz="0" w:space="10"/>
        </w:pBdr>
        <w:adjustRightInd w:val="0"/>
        <w:snapToGrid w:val="0"/>
        <w:spacing w:line="580" w:lineRule="exact"/>
        <w:contextualSpacing/>
        <w:rPr>
          <w:rFonts w:hint="default" w:ascii="Times New Roman" w:hAnsi="Times New Roman" w:eastAsia="方正仿宋简体" w:cs="Times New Roman"/>
          <w:b w:val="0"/>
          <w:bCs w:val="0"/>
          <w:sz w:val="32"/>
          <w:szCs w:val="32"/>
          <w:highlight w:val="none"/>
          <w:lang w:val="en-US" w:eastAsia="zh-CN"/>
        </w:rPr>
      </w:pPr>
      <w:r>
        <w:rPr>
          <w:rFonts w:hint="eastAsia" w:ascii="Times New Roman" w:hAnsi="Times New Roman" w:eastAsia="方正仿宋简体" w:cs="Times New Roman"/>
          <w:b w:val="0"/>
          <w:bCs w:val="0"/>
          <w:sz w:val="32"/>
          <w:szCs w:val="32"/>
          <w:highlight w:val="none"/>
          <w:lang w:val="en-US" w:eastAsia="zh-CN"/>
        </w:rPr>
        <w:t xml:space="preserve">                                                2026年7月2日</w:t>
      </w:r>
    </w:p>
    <w:sectPr>
      <w:footerReference r:id="rId3" w:type="default"/>
      <w:pgSz w:w="16838" w:h="11906" w:orient="landscape"/>
      <w:pgMar w:top="1587" w:right="1984" w:bottom="1587" w:left="1304" w:header="851" w:footer="992" w:gutter="0"/>
      <w:pgNumType w:fmt="decimal"/>
      <w:cols w:space="0" w:num="1"/>
      <w:docGrid w:type="lines" w:linePitch="3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楷体简体">
    <w:altName w:val="方正楷体_GBK"/>
    <w:panose1 w:val="03000509000000000000"/>
    <w:charset w:val="86"/>
    <w:family w:val="auto"/>
    <w:pitch w:val="default"/>
    <w:sig w:usb0="00000000" w:usb1="00000000" w:usb2="00000000" w:usb3="00000000" w:csb0="00040000" w:csb1="00000000"/>
  </w:font>
  <w:font w:name="文星标宋">
    <w:altName w:val="方正书宋_GBK"/>
    <w:panose1 w:val="00000000000000000000"/>
    <w:charset w:val="00"/>
    <w:family w:val="modern"/>
    <w:pitch w:val="default"/>
    <w:sig w:usb0="00000000" w:usb1="00000000" w:usb2="00000000" w:usb3="00000000" w:csb0="00040001" w:csb1="00000000"/>
  </w:font>
  <w:font w:name="方正黑体简体">
    <w:altName w:val="方正黑体_GBK"/>
    <w:panose1 w:val="03000509000000000000"/>
    <w:charset w:val="86"/>
    <w:family w:val="auto"/>
    <w:pitch w:val="default"/>
    <w:sig w:usb0="00000000" w:usb1="00000000" w:usb2="00000000" w:usb3="00000000" w:csb0="00040000" w:csb1="00000000"/>
  </w:font>
  <w:font w:name="方正仿宋简体">
    <w:altName w:val="方正仿宋_GBK"/>
    <w:panose1 w:val="03000509000000000000"/>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989D2">
    <w:pPr>
      <w:pStyle w:val="3"/>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E61EEA">
                          <w:pPr>
                            <w:pStyle w:val="3"/>
                            <w:rPr>
                              <w:rFonts w:hint="default" w:ascii="Times New Roman" w:hAnsi="Times New Roman" w:eastAsia="宋体" w:cs="Times New Roman"/>
                              <w:b/>
                              <w:bCs/>
                              <w:sz w:val="28"/>
                              <w:szCs w:val="28"/>
                            </w:rPr>
                          </w:pPr>
                          <w:r>
                            <w:rPr>
                              <w:rFonts w:hint="default" w:ascii="Times New Roman" w:hAnsi="Times New Roman" w:eastAsia="宋体" w:cs="Times New Roman"/>
                              <w:b/>
                              <w:bCs/>
                              <w:sz w:val="28"/>
                              <w:szCs w:val="28"/>
                            </w:rPr>
                            <w:t>—</w:t>
                          </w:r>
                          <w:r>
                            <w:rPr>
                              <w:rFonts w:hint="default" w:ascii="Times New Roman" w:hAnsi="Times New Roman" w:eastAsia="宋体" w:cs="Times New Roman"/>
                              <w:b/>
                              <w:bCs/>
                              <w:sz w:val="24"/>
                              <w:szCs w:val="28"/>
                            </w:rPr>
                            <w:t>　</w:t>
                          </w:r>
                          <w:r>
                            <w:rPr>
                              <w:rFonts w:hint="default" w:ascii="Times New Roman" w:hAnsi="Times New Roman" w:eastAsia="宋体" w:cs="Times New Roman"/>
                              <w:b/>
                              <w:bCs/>
                              <w:sz w:val="28"/>
                              <w:szCs w:val="28"/>
                            </w:rPr>
                            <w:fldChar w:fldCharType="begin"/>
                          </w:r>
                          <w:r>
                            <w:rPr>
                              <w:rFonts w:hint="default" w:ascii="Times New Roman" w:hAnsi="Times New Roman" w:eastAsia="宋体" w:cs="Times New Roman"/>
                              <w:b/>
                              <w:bCs/>
                              <w:sz w:val="28"/>
                              <w:szCs w:val="28"/>
                            </w:rPr>
                            <w:instrText xml:space="preserve"> PAGE  \* MERGEFORMAT </w:instrText>
                          </w:r>
                          <w:r>
                            <w:rPr>
                              <w:rFonts w:hint="default" w:ascii="Times New Roman" w:hAnsi="Times New Roman" w:eastAsia="宋体" w:cs="Times New Roman"/>
                              <w:b/>
                              <w:bCs/>
                              <w:sz w:val="28"/>
                              <w:szCs w:val="28"/>
                            </w:rPr>
                            <w:fldChar w:fldCharType="separate"/>
                          </w:r>
                          <w:r>
                            <w:rPr>
                              <w:rFonts w:hint="default" w:ascii="Times New Roman" w:hAnsi="Times New Roman" w:eastAsia="宋体" w:cs="Times New Roman"/>
                              <w:b/>
                              <w:bCs/>
                              <w:sz w:val="28"/>
                              <w:szCs w:val="28"/>
                            </w:rPr>
                            <w:t>97</w:t>
                          </w:r>
                          <w:r>
                            <w:rPr>
                              <w:rFonts w:hint="default" w:ascii="Times New Roman" w:hAnsi="Times New Roman" w:eastAsia="宋体" w:cs="Times New Roman"/>
                              <w:b/>
                              <w:bCs/>
                              <w:sz w:val="28"/>
                              <w:szCs w:val="28"/>
                            </w:rPr>
                            <w:fldChar w:fldCharType="end"/>
                          </w:r>
                          <w:r>
                            <w:rPr>
                              <w:rFonts w:hint="default" w:ascii="Times New Roman" w:hAnsi="Times New Roman" w:eastAsia="宋体" w:cs="Times New Roman"/>
                              <w:b/>
                              <w:bCs/>
                              <w:sz w:val="24"/>
                              <w:szCs w:val="28"/>
                            </w:rPr>
                            <w:t>　</w:t>
                          </w:r>
                          <w:r>
                            <w:rPr>
                              <w:rFonts w:hint="default" w:ascii="Times New Roman" w:hAnsi="Times New Roman" w:eastAsia="宋体" w:cs="Times New Roman"/>
                              <w:b/>
                              <w:bCs/>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3E61EEA">
                    <w:pPr>
                      <w:pStyle w:val="3"/>
                      <w:rPr>
                        <w:rFonts w:hint="default" w:ascii="Times New Roman" w:hAnsi="Times New Roman" w:eastAsia="宋体" w:cs="Times New Roman"/>
                        <w:b/>
                        <w:bCs/>
                        <w:sz w:val="28"/>
                        <w:szCs w:val="28"/>
                      </w:rPr>
                    </w:pPr>
                    <w:r>
                      <w:rPr>
                        <w:rFonts w:hint="default" w:ascii="Times New Roman" w:hAnsi="Times New Roman" w:eastAsia="宋体" w:cs="Times New Roman"/>
                        <w:b/>
                        <w:bCs/>
                        <w:sz w:val="28"/>
                        <w:szCs w:val="28"/>
                      </w:rPr>
                      <w:t>—</w:t>
                    </w:r>
                    <w:r>
                      <w:rPr>
                        <w:rFonts w:hint="default" w:ascii="Times New Roman" w:hAnsi="Times New Roman" w:eastAsia="宋体" w:cs="Times New Roman"/>
                        <w:b/>
                        <w:bCs/>
                        <w:sz w:val="24"/>
                        <w:szCs w:val="28"/>
                      </w:rPr>
                      <w:t>　</w:t>
                    </w:r>
                    <w:r>
                      <w:rPr>
                        <w:rFonts w:hint="default" w:ascii="Times New Roman" w:hAnsi="Times New Roman" w:eastAsia="宋体" w:cs="Times New Roman"/>
                        <w:b/>
                        <w:bCs/>
                        <w:sz w:val="28"/>
                        <w:szCs w:val="28"/>
                      </w:rPr>
                      <w:fldChar w:fldCharType="begin"/>
                    </w:r>
                    <w:r>
                      <w:rPr>
                        <w:rFonts w:hint="default" w:ascii="Times New Roman" w:hAnsi="Times New Roman" w:eastAsia="宋体" w:cs="Times New Roman"/>
                        <w:b/>
                        <w:bCs/>
                        <w:sz w:val="28"/>
                        <w:szCs w:val="28"/>
                      </w:rPr>
                      <w:instrText xml:space="preserve"> PAGE  \* MERGEFORMAT </w:instrText>
                    </w:r>
                    <w:r>
                      <w:rPr>
                        <w:rFonts w:hint="default" w:ascii="Times New Roman" w:hAnsi="Times New Roman" w:eastAsia="宋体" w:cs="Times New Roman"/>
                        <w:b/>
                        <w:bCs/>
                        <w:sz w:val="28"/>
                        <w:szCs w:val="28"/>
                      </w:rPr>
                      <w:fldChar w:fldCharType="separate"/>
                    </w:r>
                    <w:r>
                      <w:rPr>
                        <w:rFonts w:hint="default" w:ascii="Times New Roman" w:hAnsi="Times New Roman" w:eastAsia="宋体" w:cs="Times New Roman"/>
                        <w:b/>
                        <w:bCs/>
                        <w:sz w:val="28"/>
                        <w:szCs w:val="28"/>
                      </w:rPr>
                      <w:t>97</w:t>
                    </w:r>
                    <w:r>
                      <w:rPr>
                        <w:rFonts w:hint="default" w:ascii="Times New Roman" w:hAnsi="Times New Roman" w:eastAsia="宋体" w:cs="Times New Roman"/>
                        <w:b/>
                        <w:bCs/>
                        <w:sz w:val="28"/>
                        <w:szCs w:val="28"/>
                      </w:rPr>
                      <w:fldChar w:fldCharType="end"/>
                    </w:r>
                    <w:r>
                      <w:rPr>
                        <w:rFonts w:hint="default" w:ascii="Times New Roman" w:hAnsi="Times New Roman" w:eastAsia="宋体" w:cs="Times New Roman"/>
                        <w:b/>
                        <w:bCs/>
                        <w:sz w:val="24"/>
                        <w:szCs w:val="28"/>
                      </w:rPr>
                      <w:t>　</w:t>
                    </w:r>
                    <w:r>
                      <w:rPr>
                        <w:rFonts w:hint="default" w:ascii="Times New Roman" w:hAnsi="Times New Roman" w:eastAsia="宋体" w:cs="Times New Roman"/>
                        <w:b/>
                        <w:bCs/>
                        <w:sz w:val="28"/>
                        <w:szCs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61"/>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CEC"/>
    <w:rsid w:val="00021EAB"/>
    <w:rsid w:val="00077497"/>
    <w:rsid w:val="000E4B27"/>
    <w:rsid w:val="001678CE"/>
    <w:rsid w:val="00171AB5"/>
    <w:rsid w:val="001B7501"/>
    <w:rsid w:val="001F1A05"/>
    <w:rsid w:val="002E1704"/>
    <w:rsid w:val="00325460"/>
    <w:rsid w:val="00394B56"/>
    <w:rsid w:val="0040451C"/>
    <w:rsid w:val="004277C9"/>
    <w:rsid w:val="00477420"/>
    <w:rsid w:val="004C3AF8"/>
    <w:rsid w:val="00527667"/>
    <w:rsid w:val="006F409A"/>
    <w:rsid w:val="007E4CA5"/>
    <w:rsid w:val="00817443"/>
    <w:rsid w:val="00844877"/>
    <w:rsid w:val="00883061"/>
    <w:rsid w:val="008A5447"/>
    <w:rsid w:val="00904077"/>
    <w:rsid w:val="009307B6"/>
    <w:rsid w:val="00B160E5"/>
    <w:rsid w:val="00B66CEC"/>
    <w:rsid w:val="00BE62CF"/>
    <w:rsid w:val="00C515FF"/>
    <w:rsid w:val="00CA17BB"/>
    <w:rsid w:val="00CE1CAE"/>
    <w:rsid w:val="00CF68F4"/>
    <w:rsid w:val="00DD2E69"/>
    <w:rsid w:val="02477318"/>
    <w:rsid w:val="03F31506"/>
    <w:rsid w:val="064C75F3"/>
    <w:rsid w:val="06A058D3"/>
    <w:rsid w:val="0B3E5DA0"/>
    <w:rsid w:val="0C177D5B"/>
    <w:rsid w:val="0CC7352F"/>
    <w:rsid w:val="0EF4F253"/>
    <w:rsid w:val="137AE010"/>
    <w:rsid w:val="14C34F24"/>
    <w:rsid w:val="19CC03D7"/>
    <w:rsid w:val="1A1C0AE5"/>
    <w:rsid w:val="20BB2F53"/>
    <w:rsid w:val="222A0600"/>
    <w:rsid w:val="230230BC"/>
    <w:rsid w:val="23EF00B1"/>
    <w:rsid w:val="262F4A41"/>
    <w:rsid w:val="26887D7C"/>
    <w:rsid w:val="28610884"/>
    <w:rsid w:val="2BA271EA"/>
    <w:rsid w:val="2C251BC9"/>
    <w:rsid w:val="2EA02905"/>
    <w:rsid w:val="30B0132C"/>
    <w:rsid w:val="30BF439A"/>
    <w:rsid w:val="348F6779"/>
    <w:rsid w:val="35F72828"/>
    <w:rsid w:val="37BECCE9"/>
    <w:rsid w:val="37EFF77B"/>
    <w:rsid w:val="37FDE02D"/>
    <w:rsid w:val="3AB900AC"/>
    <w:rsid w:val="3E083824"/>
    <w:rsid w:val="3FDB1609"/>
    <w:rsid w:val="451505D5"/>
    <w:rsid w:val="455E3D2A"/>
    <w:rsid w:val="47D77DC3"/>
    <w:rsid w:val="48515DC8"/>
    <w:rsid w:val="4B5C0D0B"/>
    <w:rsid w:val="4F7F774D"/>
    <w:rsid w:val="4FF69438"/>
    <w:rsid w:val="4FFC2ABD"/>
    <w:rsid w:val="510A2FB8"/>
    <w:rsid w:val="526861E8"/>
    <w:rsid w:val="55DF254B"/>
    <w:rsid w:val="56FB3579"/>
    <w:rsid w:val="58613E05"/>
    <w:rsid w:val="590D1897"/>
    <w:rsid w:val="5AEDA284"/>
    <w:rsid w:val="5B490B80"/>
    <w:rsid w:val="5B7CA53E"/>
    <w:rsid w:val="5C5B4D0F"/>
    <w:rsid w:val="5F36FD06"/>
    <w:rsid w:val="5F76FC60"/>
    <w:rsid w:val="5FEF16E0"/>
    <w:rsid w:val="5FF7FEE0"/>
    <w:rsid w:val="6138591F"/>
    <w:rsid w:val="650F4BE9"/>
    <w:rsid w:val="65982141"/>
    <w:rsid w:val="65EE0CA2"/>
    <w:rsid w:val="679D472E"/>
    <w:rsid w:val="6B910106"/>
    <w:rsid w:val="6D033285"/>
    <w:rsid w:val="6D965EA7"/>
    <w:rsid w:val="6E4F4029"/>
    <w:rsid w:val="6EE33997"/>
    <w:rsid w:val="6F484F7F"/>
    <w:rsid w:val="6F7C731F"/>
    <w:rsid w:val="6F7E6BF3"/>
    <w:rsid w:val="705067E1"/>
    <w:rsid w:val="70D867D7"/>
    <w:rsid w:val="71DE1BCB"/>
    <w:rsid w:val="72BD6AA2"/>
    <w:rsid w:val="735008A6"/>
    <w:rsid w:val="74836A59"/>
    <w:rsid w:val="752C8087"/>
    <w:rsid w:val="76B949B4"/>
    <w:rsid w:val="773B361B"/>
    <w:rsid w:val="78C338C8"/>
    <w:rsid w:val="7997EDFF"/>
    <w:rsid w:val="7BBF6394"/>
    <w:rsid w:val="7DB60FE2"/>
    <w:rsid w:val="7DFDF3A1"/>
    <w:rsid w:val="7E696CC0"/>
    <w:rsid w:val="7E7F9E97"/>
    <w:rsid w:val="7FA501CC"/>
    <w:rsid w:val="7FBFE589"/>
    <w:rsid w:val="7FDE865C"/>
    <w:rsid w:val="97EF178C"/>
    <w:rsid w:val="9BC7FC81"/>
    <w:rsid w:val="9DD23133"/>
    <w:rsid w:val="AFBD99B4"/>
    <w:rsid w:val="BDEFD3EC"/>
    <w:rsid w:val="BFAFE93A"/>
    <w:rsid w:val="BFF4C32A"/>
    <w:rsid w:val="CC3FD50A"/>
    <w:rsid w:val="D3BDD030"/>
    <w:rsid w:val="D7F3AE50"/>
    <w:rsid w:val="DF7BEA30"/>
    <w:rsid w:val="DFBFE7DC"/>
    <w:rsid w:val="DFDFED51"/>
    <w:rsid w:val="EEAFFEF9"/>
    <w:rsid w:val="EFF7298D"/>
    <w:rsid w:val="EFFD97C7"/>
    <w:rsid w:val="F6BFB7BD"/>
    <w:rsid w:val="FBFE2D2B"/>
    <w:rsid w:val="FCEECBD8"/>
    <w:rsid w:val="FD576BEC"/>
    <w:rsid w:val="FEF76F38"/>
    <w:rsid w:val="FF7FC9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unhideWhenUsed/>
    <w:qFormat/>
    <w:uiPriority w:val="99"/>
    <w:pPr>
      <w:widowControl/>
      <w:kinsoku w:val="0"/>
      <w:autoSpaceDE w:val="0"/>
      <w:autoSpaceDN w:val="0"/>
      <w:adjustRightInd w:val="0"/>
      <w:snapToGrid w:val="0"/>
      <w:spacing w:after="120" w:line="480" w:lineRule="auto"/>
      <w:ind w:left="420" w:leftChars="200"/>
      <w:jc w:val="left"/>
      <w:textAlignment w:val="baseline"/>
    </w:pPr>
    <w:rPr>
      <w:rFonts w:ascii="Arial" w:hAnsi="Arial" w:eastAsia="Arial" w:cs="Arial"/>
      <w:snapToGrid w:val="0"/>
      <w:color w:val="000000"/>
      <w:kern w:val="0"/>
      <w:szCs w:val="21"/>
      <w:lang w:eastAsia="en-US"/>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toc 1"/>
    <w:basedOn w:val="1"/>
    <w:next w:val="1"/>
    <w:qFormat/>
    <w:uiPriority w:val="39"/>
    <w:rPr>
      <w:rFonts w:eastAsia="黑体"/>
      <w:sz w:val="32"/>
    </w:rPr>
  </w:style>
  <w:style w:type="paragraph" w:styleId="6">
    <w:name w:val="toc 2"/>
    <w:basedOn w:val="1"/>
    <w:next w:val="1"/>
    <w:qFormat/>
    <w:uiPriority w:val="39"/>
    <w:pPr>
      <w:spacing w:line="600" w:lineRule="exact"/>
      <w:ind w:left="200" w:leftChars="200"/>
    </w:pPr>
    <w:rPr>
      <w:rFonts w:eastAsia="楷体"/>
      <w:sz w:val="32"/>
    </w:rPr>
  </w:style>
  <w:style w:type="paragraph" w:styleId="7">
    <w:name w:val="Normal (Web)"/>
    <w:basedOn w:val="1"/>
    <w:qFormat/>
    <w:uiPriority w:val="0"/>
    <w:rPr>
      <w:sz w:val="24"/>
    </w:rPr>
  </w:style>
  <w:style w:type="character" w:styleId="10">
    <w:name w:val="Strong"/>
    <w:basedOn w:val="9"/>
    <w:qFormat/>
    <w:uiPriority w:val="0"/>
    <w:rPr>
      <w:b/>
    </w:rPr>
  </w:style>
  <w:style w:type="table" w:customStyle="1" w:styleId="11">
    <w:name w:val="Table Normal"/>
    <w:autoRedefine/>
    <w:semiHidden/>
    <w:unhideWhenUsed/>
    <w:qFormat/>
    <w:uiPriority w:val="0"/>
    <w:rPr>
      <w:rFonts w:ascii="Arial" w:hAnsi="Arial" w:cs="Arial"/>
    </w:rPr>
    <w:tblPr>
      <w:tblCellMar>
        <w:top w:w="0" w:type="dxa"/>
        <w:left w:w="0" w:type="dxa"/>
        <w:bottom w:w="0" w:type="dxa"/>
        <w:right w:w="0" w:type="dxa"/>
      </w:tblCellMar>
    </w:tblPr>
  </w:style>
  <w:style w:type="paragraph" w:customStyle="1" w:styleId="12">
    <w:name w:val="WPSOffice手动目录 1"/>
    <w:qFormat/>
    <w:uiPriority w:val="0"/>
    <w:rPr>
      <w:rFonts w:asciiTheme="minorHAnsi" w:hAnsiTheme="minorHAnsi" w:eastAsiaTheme="minorEastAsia" w:cstheme="minorBidi"/>
      <w:lang w:val="en-US" w:eastAsia="zh-CN" w:bidi="ar-SA"/>
    </w:rPr>
  </w:style>
  <w:style w:type="paragraph" w:customStyle="1" w:styleId="13">
    <w:name w:val="WPSOffice手动目录 2"/>
    <w:qFormat/>
    <w:uiPriority w:val="0"/>
    <w:pPr>
      <w:ind w:left="200" w:leftChars="200"/>
    </w:pPr>
    <w:rPr>
      <w:rFonts w:asciiTheme="minorHAnsi" w:hAnsiTheme="minorHAnsi" w:eastAsiaTheme="minorEastAsia" w:cstheme="minorBidi"/>
      <w:lang w:val="en-US" w:eastAsia="zh-CN" w:bidi="ar-SA"/>
    </w:rPr>
  </w:style>
  <w:style w:type="paragraph" w:styleId="14">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25</Pages>
  <Words>13230</Words>
  <Characters>13990</Characters>
  <Lines>1360</Lines>
  <Paragraphs>1187</Paragraphs>
  <TotalTime>9</TotalTime>
  <ScaleCrop>false</ScaleCrop>
  <LinksUpToDate>false</LinksUpToDate>
  <CharactersWithSpaces>14035</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2026-05-18T00:41:00Z</dcterms:created>
  <dc:creator>Administrator.7O4VZ1JBWHBYRHI</dc:creator>
  <cp:lastModifiedBy>user</cp:lastModifiedBy>
  <dcterms:modified xsi:type="dcterms:W3CDTF">2026-10-10T15:03:00Z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KSOTemplateDocerSaveRecord">
    <vt:lpwstr>eyJoZGlkIjoiMjRiYzVmOWUyNjcyYjg0Yjg1MzkxYWVlYTZhODViY2MiLCJ1c2VySWQiOiIxMzMzMTU3NjM0In0=</vt:lpwstr>
  </property>
  <property fmtid="{D5CDD505-2E9C-101B-9397-08002B2CF9AE}" pid="4" name="ICV">
    <vt:lpwstr>445104E47715378B70F0A96A86338B0C_43</vt:lpwstr>
  </property>
</Properties>
</file>