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 w:cs="Times New Roman"/>
          <w:kern w:val="0"/>
          <w:sz w:val="20"/>
          <w:szCs w:val="32"/>
          <w:lang w:bidi="zh-CN"/>
        </w:rPr>
      </w:pPr>
    </w:p>
    <w:p>
      <w:pPr>
        <w:spacing w:line="2425" w:lineRule="exact"/>
        <w:ind w:right="616"/>
        <w:rPr>
          <w:rFonts w:ascii="Times New Roman" w:hAnsi="Times New Roman" w:eastAsia="方正小标宋简体" w:cs="Times New Roman"/>
          <w:kern w:val="0"/>
          <w:sz w:val="148"/>
          <w:szCs w:val="20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  <w:lang w:val="zh-CN" w:bidi="zh-CN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kern w:val="0"/>
          <w:sz w:val="32"/>
          <w:szCs w:val="32"/>
          <w:lang w:val="zh-CN" w:bidi="zh-CN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zh-CN" w:bidi="zh-CN"/>
        </w:rPr>
        <w:t>济兖政字〔</w:t>
      </w:r>
      <w:r>
        <w:rPr>
          <w:rFonts w:ascii="Times New Roman" w:hAnsi="Times New Roman" w:eastAsia="Times New Roman" w:cs="Times New Roman"/>
          <w:kern w:val="0"/>
          <w:sz w:val="32"/>
          <w:szCs w:val="32"/>
          <w:lang w:val="zh-CN" w:bidi="zh-CN"/>
        </w:rPr>
        <w:t>20</w:t>
      </w:r>
      <w:r>
        <w:rPr>
          <w:rFonts w:ascii="Times New Roman" w:hAnsi="Times New Roman" w:cs="Times New Roman"/>
          <w:kern w:val="0"/>
          <w:sz w:val="32"/>
          <w:szCs w:val="32"/>
          <w:lang w:bidi="zh-CN"/>
        </w:rPr>
        <w:t>22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 w:bidi="zh-CN"/>
        </w:rPr>
        <w:t>〕</w:t>
      </w:r>
      <w:r>
        <w:rPr>
          <w:rFonts w:ascii="Times New Roman" w:hAnsi="Times New Roman" w:cs="Times New Roman"/>
          <w:kern w:val="0"/>
          <w:sz w:val="32"/>
          <w:szCs w:val="32"/>
          <w:lang w:bidi="zh-CN"/>
        </w:rPr>
        <w:t>1</w:t>
      </w:r>
      <w:r>
        <w:rPr>
          <w:rFonts w:hint="eastAsia" w:ascii="Times New Roman" w:hAnsi="Times New Roman" w:cs="Times New Roman"/>
          <w:kern w:val="0"/>
          <w:sz w:val="32"/>
          <w:szCs w:val="32"/>
          <w:lang w:bidi="zh-CN"/>
        </w:rPr>
        <w:t>8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zh-CN" w:bidi="zh-CN"/>
        </w:rPr>
        <w:t>号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kern w:val="0"/>
          <w:sz w:val="20"/>
          <w:szCs w:val="32"/>
          <w:lang w:val="zh-CN" w:bidi="zh-CN"/>
        </w:rPr>
      </w:pPr>
    </w:p>
    <w:p>
      <w:pPr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kern w:val="0"/>
          <w:sz w:val="28"/>
          <w:szCs w:val="32"/>
          <w:lang w:val="zh-CN" w:bidi="zh-CN"/>
        </w:rPr>
      </w:pPr>
    </w:p>
    <w:p>
      <w:pPr>
        <w:tabs>
          <w:tab w:val="left" w:pos="8730"/>
        </w:tabs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spacing w:val="4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济宁市兖州区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人民政府</w: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Cs/>
          <w:color w:val="000000"/>
          <w:sz w:val="44"/>
          <w:szCs w:val="44"/>
        </w:rPr>
        <w:t>关于加强品牌建设共建共享“好品山东”</w:t>
      </w:r>
    </w:p>
    <w:p>
      <w:pPr>
        <w:spacing w:line="560" w:lineRule="exact"/>
        <w:jc w:val="center"/>
        <w:rPr>
          <w:rFonts w:ascii="方正小标宋简体" w:hAnsi="文星仿宋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文星仿宋" w:eastAsia="方正小标宋简体" w:cs="方正小标宋简体"/>
          <w:bCs/>
          <w:color w:val="000000"/>
          <w:sz w:val="44"/>
          <w:szCs w:val="44"/>
        </w:rPr>
        <w:t>推动高质量发展的实施意见</w:t>
      </w:r>
    </w:p>
    <w:p>
      <w:pPr>
        <w:spacing w:line="560" w:lineRule="exact"/>
        <w:jc w:val="center"/>
        <w:rPr>
          <w:rFonts w:ascii="方正仿宋简体" w:hAnsi="Tahoma" w:eastAsia="方正仿宋简体" w:cs="Tahoma"/>
          <w:b/>
          <w:color w:val="000000"/>
          <w:sz w:val="32"/>
          <w:szCs w:val="32"/>
        </w:rPr>
      </w:pPr>
    </w:p>
    <w:p>
      <w:pPr>
        <w:pStyle w:val="7"/>
        <w:spacing w:before="0" w:beforeAutospacing="0" w:after="0" w:afterAutospacing="0" w:line="560" w:lineRule="exact"/>
        <w:jc w:val="both"/>
        <w:rPr>
          <w:rFonts w:ascii="Times New Roman" w:hAnsi="Times New Roman" w:eastAsia="方正仿宋简体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/>
          <w:bCs/>
          <w:color w:val="000000"/>
          <w:sz w:val="32"/>
          <w:szCs w:val="32"/>
        </w:rPr>
        <w:t>各镇人民政府，各街道办事处，兖州工业园区管委会，区直有关部门，各有关企业：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为贯彻落实济宁市政府《关于加强品牌建设共建共享“好品山东”推动高质量发展的实施意见》（济政字〔2021〕75号）的精神，深入推动质量</w:t>
      </w:r>
      <w:bookmarkStart w:id="0" w:name="_GoBack"/>
      <w:bookmarkEnd w:id="0"/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强区及品牌战略，全面提升品牌影响力、竞争力和美誉度，推动企业发展和产业升级，现就我区加强品牌建设，共建共享“好品山东”，推动高质量发展提出如下实施意见。</w:t>
      </w:r>
    </w:p>
    <w:p>
      <w:pPr>
        <w:spacing w:line="560" w:lineRule="exact"/>
        <w:ind w:firstLine="640" w:firstLineChars="200"/>
        <w:rPr>
          <w:rFonts w:hint="eastAsia"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hint="eastAsia" w:ascii="方正黑体简体" w:hAnsi="Times New Roman" w:eastAsia="方正黑体简体" w:cs="Times New Roman"/>
          <w:bCs/>
          <w:color w:val="000000"/>
          <w:sz w:val="32"/>
          <w:szCs w:val="32"/>
        </w:rPr>
        <w:t>一、坚持“统筹为要”，形成“好品山东”工作合力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坚持市场主导、政府推动、质量至上、诚信为本、创新驱动、统筹规划、分类指导，围绕高质量发展主题，聚焦全区重点行业和重要业态，大力实施质量强区及品牌战略，提高我区“好品山东”品牌美誉度和品牌竞争力，推动全区经济社会高质量发展。发挥政府推动作用，优化政策供给；发挥市场决定性作用，激发市场主体活力，提升品牌培育动力。完善品牌协同推进机制，加快横向部门合作、纵向属地联动，形成“好品山东”建设强大合力。持续深化“放管服”改革，加快政府流程再造升级，树立品牌服务意识，优化营商环境。到2025年，打造市场有效、政府有为、企业有利的良好生态。（责任单位：区市场监管局、区质量强区工作领导小组各成员单位，排在第一位的为牵头单位，下同）</w:t>
      </w:r>
    </w:p>
    <w:p>
      <w:pPr>
        <w:spacing w:line="560" w:lineRule="exact"/>
        <w:ind w:firstLine="640" w:firstLineChars="200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二、坚持“产业为核”，推动全产业链协同发展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紧紧围绕以造纸包装、橡胶化工、高端装备、食品医药等“2+2”优势主导产业和新一代信息技术、新材料、生物医药等多个新兴产业，把实施品牌战略作为推动产业转型升级的重要切入点，加快品牌培育进程，助力突破制造强区。</w:t>
      </w:r>
      <w:r>
        <w:rPr>
          <w:rFonts w:ascii="Times New Roman" w:hAnsi="Times New Roman" w:eastAsia="方正仿宋简体" w:cs="Times New Roman"/>
          <w:sz w:val="32"/>
          <w:szCs w:val="32"/>
        </w:rPr>
        <w:t>以“济宁礼飨”区域公共品牌为引领，大力培育农产品品牌。鼓励引导农业龙头企业、农民专业合作社等新型经营主体的农产品融入“济宁礼飨”区域公用品牌，</w:t>
      </w: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形成以品牌、标准、质量、效益为核心的出口竞争新优势，助力突破乡村振兴。推动物流业与制造、农业、金融等行业联动发展，形成一批具有竞争力的大型综合物流企业园区和物流服务品牌，助力突破现代物流产业发展。紧跟济宁打造“世界文化旅游名城”总体定位，擦亮兖州旅游服务名片，依托花海彩田景区、牛楼小镇等旅游资源，对旅游资源和服务项目进行有效整合，全方位展现兖州的文旅资源。（责任单位：区市场监管局、区工业和信息化局、区农业农村局、区发展改革局、区住房城乡建设局、区商务局、区文化和旅游局）</w:t>
      </w:r>
    </w:p>
    <w:p>
      <w:pPr>
        <w:spacing w:line="560" w:lineRule="exact"/>
        <w:ind w:firstLine="640" w:firstLineChars="200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三、坚持“标准为先”，构建新型标准认证体系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大力实施标准化战略，构建我区新型标准体系。实施企业标准领跑者制度，充分发挥标准化技术委员会、行业协会、企业的协同作用，围绕全区主导产业和特色产业，鼓励企业积极参与国际和国内先进标准的制修订工作，制定和实施一批具有引领性、创新性、先进性、适用性的标准。开展质量管理体系认证提升行动，鼓励企业申请标准化良好行为企业确认，采用国际质量管理体系标准，建立相应的质量管理体系，有效推动我区相关产业质量提升。（责任单位：区市场监管局、区发展改革局、区科技局、区工业和信息化局）</w:t>
      </w:r>
    </w:p>
    <w:p>
      <w:pPr>
        <w:spacing w:line="560" w:lineRule="exact"/>
        <w:ind w:firstLine="640" w:firstLineChars="200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四、坚持“创新为翼”，以创新引领品牌发展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树立创新在品牌发展中的核心地位，围绕全区重点产业和重点领域，鼓励企业开展自主创新、全员创新。积极配合做好全区企业研发需求图谱、全国重点高校和人才团队技术分布图谱绘制工作，推动两张图谱无缝对接；组织企业充分利用综合科技信息服务平台、专利导航平台以及产学研对接平台，开展形式多样的产学研合作。支持知识产权服务机构为“好品山东”企业海外研发、产品出口、品牌输出等提供专业化服务。加大“高精尖缺”人才引进力度，提高自主知识产权和技术成果占有量，推动产学研深度融合，促进科技成果转化。推动“好品山东”品牌培育企业提升自身技术引领能力，推进智能制造、绿色制造、精益生产等现代制造模式的运用，有效带动产业标准、产品、工艺及技术进步。（责任单位：区科技局、区发展改革局</w:t>
      </w:r>
      <w:r>
        <w:rPr>
          <w:rFonts w:ascii="Times New Roman" w:hAnsi="Times New Roman" w:eastAsia="方正仿宋简体" w:cs="Times New Roman"/>
          <w:bCs/>
          <w:color w:val="000000"/>
          <w:spacing w:val="-6"/>
          <w:sz w:val="32"/>
          <w:szCs w:val="32"/>
        </w:rPr>
        <w:t>、</w:t>
      </w: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区</w:t>
      </w:r>
      <w:r>
        <w:rPr>
          <w:rFonts w:ascii="Times New Roman" w:hAnsi="Times New Roman" w:eastAsia="方正仿宋简体" w:cs="Times New Roman"/>
          <w:bCs/>
          <w:color w:val="000000"/>
          <w:spacing w:val="-6"/>
          <w:sz w:val="32"/>
          <w:szCs w:val="32"/>
        </w:rPr>
        <w:t>工业和信息化局、</w:t>
      </w: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区</w:t>
      </w:r>
      <w:r>
        <w:rPr>
          <w:rFonts w:ascii="Times New Roman" w:hAnsi="Times New Roman" w:eastAsia="方正仿宋简体" w:cs="Times New Roman"/>
          <w:bCs/>
          <w:color w:val="000000"/>
          <w:spacing w:val="-6"/>
          <w:sz w:val="32"/>
          <w:szCs w:val="32"/>
        </w:rPr>
        <w:t>人力资源和社会保障局、</w:t>
      </w: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区市场监管局、区</w:t>
      </w:r>
      <w:r>
        <w:rPr>
          <w:rFonts w:ascii="Times New Roman" w:hAnsi="Times New Roman" w:eastAsia="方正仿宋简体" w:cs="Times New Roman"/>
          <w:bCs/>
          <w:color w:val="000000"/>
          <w:spacing w:val="-6"/>
          <w:sz w:val="32"/>
          <w:szCs w:val="32"/>
        </w:rPr>
        <w:t>商务局）</w:t>
      </w:r>
    </w:p>
    <w:p>
      <w:pPr>
        <w:spacing w:line="580" w:lineRule="exact"/>
        <w:ind w:firstLine="640" w:firstLineChars="200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五、坚持“质量为骨”，全面打牢质量发展基础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聚焦2+2”产业集群链条以及农业、食品药品、建筑工程、环境、服务业、政务服务等行业领域和部分新兴产业，加快“好品山东”建设，大力实施“十百千”品牌培育引领工程，持续实施质量提升行动。以企业需求为导向，加快推动“政府引导、市场驱动、资源统筹、共建共享”的质量基础设施“一站式”服务模式落实落地。到2025年，农产品质量安全风险监测合格率达到98%以上，食品上市合格率达100%，药品安全率达100%，工程竣工验收合格率达100%，政务服务群众好评率达99%以上，新增各级质量奖企业2家以上，建成“济宁市NQI综合服务中心 兖州区高端农机装备制造园区工作站”。（责任单位：区市场监管局、区质量强区工作领导小组各成员单位）</w:t>
      </w:r>
    </w:p>
    <w:p>
      <w:pPr>
        <w:spacing w:line="580" w:lineRule="exact"/>
        <w:ind w:firstLine="640" w:firstLineChars="200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六、坚持“文化为魂”，做好文化赋能品牌文章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高度重视发展品牌文化，注重品牌内涵培育，将品牌作为文化最坚强的承载。深入发掘儒家文化、端信文化的优秀传统、丰富内涵和独特魅力，把儒家、端信等文化元素融入到城市建设、产业发展，大幅提高城市文化品位、产业发展内涵，打造“端信兖州·质量为先”的城市质量精神和质量名片。紧扣市场需求，深挖文化资源，推动文化“两创”，引发群众深层次文化共鸣。在高速、高铁、民航等领域大力推介文化产业、文创产品，营造浓厚的传统文化氛围。到2025年，儒家、端信文化影响力日益增强，文化品牌影响力不断提升。（责任单位：区文化和旅游局、区市场监管局、区发展改革局、区自然资源局、区住房和城乡建设局）</w:t>
      </w:r>
    </w:p>
    <w:p>
      <w:pPr>
        <w:spacing w:line="580" w:lineRule="exact"/>
        <w:ind w:firstLine="640" w:firstLineChars="200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七、坚持“保障为基”，健全品牌资助激励机制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全力统筹支持品牌建设各项奖补资金，充分发挥市级品牌培育专项资金的激励作用。市级专项资金奖励标准如下：（一）对获得中国质量奖（提名奖）、山东省省长质量奖（提名奖）的，分别给予一次性扶持资金100（50）万元、30（20）万元。对获得济宁市质量领军企业的，给予一次性扶持资金50万元。（二）对新认定的中国驰名商标的单位，每家一性次奖励100万元；对通过马德里商标国际注册体系取得注册商标的，每件商标按不低于注册费用50%予以奖励，每家企业最高20万元。</w:t>
      </w:r>
    </w:p>
    <w:p>
      <w:pPr>
        <w:spacing w:line="58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根据市对县（区）实施品牌培育三年总额奖补情况，我区专项资金奖励标准如下：（一）对获评“好品山东”“山东省高端品牌培育（示范）企业”“山东省优质产品基地龙头骨干企业”等称号的企业，给予不高于10万元的奖励；（二）对新获得“泰山品质”认证、CNAS实验室认可的企业或单位，给予不高于10万元奖励。（责任单位：区财政局、区市场监管局）</w:t>
      </w:r>
    </w:p>
    <w:p>
      <w:pPr>
        <w:spacing w:line="560" w:lineRule="exact"/>
        <w:ind w:firstLine="640" w:firstLineChars="200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八、坚持“以人为本”，建设品牌工作人才队伍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坚持尊重劳动、尊重知识、尊重人才、尊重创造，用好现有人才、培养紧缺人才、引进急需人才，为品牌人才发挥聪明才智营造环境、提供平台。开展“中国品牌日”等主题实践活动，推动品牌教育进党校、进职业院校。推动企业和职业院校合作，加大品牌人才培育。开展品牌培训，全面提高企业经营管理者、一线员工的品牌意识和能力水平。注重选拔品牌人才，探索建立区级品牌发展专家智库，深化品牌发展研究和决策咨询。到2025年，培养一批在全国、全省有影响力的品牌领军人才。（责任单位：区人力资源和社会保障局、区市场监管局、区发展改革局、区教育和体育局、区科技局、区工业和信息化局、区农业农村局、区商务局）</w:t>
      </w:r>
    </w:p>
    <w:p>
      <w:pPr>
        <w:spacing w:line="560" w:lineRule="exact"/>
        <w:ind w:firstLine="640" w:firstLineChars="200"/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</w:pPr>
      <w:r>
        <w:rPr>
          <w:rFonts w:ascii="方正黑体简体" w:hAnsi="Times New Roman" w:eastAsia="方正黑体简体" w:cs="Times New Roman"/>
          <w:bCs/>
          <w:color w:val="000000"/>
          <w:sz w:val="32"/>
          <w:szCs w:val="32"/>
        </w:rPr>
        <w:t>九、坚持“共建为主”，加大品牌宣传保护力度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科学合理确定政府、企业、协会、团体、院校在品牌建设中的关系定位，充分发挥企业品牌建设的主体作用，鼓励企业健全品牌管理体系，提升品牌培育水平。积极利用“品牌日”“质量月”等时机，广泛开展品牌公益宣传。加强品牌宣传推介，充分挖掘品牌企业成功案例，定期举办“讲好兖州品牌故事”演讲、征文、短视频、微电影大赛，夯实品牌宣传根基。拓展品牌推广渠道，做好兖州整体品牌的宣传推广活动。推进信用体系建设，强化品牌保护。发挥知识产权维权援助热线、保护机构作用，对专利、商标、著作权、地理标志等实施综合保护。到2025年，建立形成共建共享共用的品牌工作发展格局。（责任单位：区市场监管局、区质量强区工作领导小组各成员单位）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  <w:t>如遇中央、省、市政策调整，按新政策执行。本实施意见自2022年8月25日起施行，有效期至2025年12月18日。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简体" w:cs="Times New Roman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840" w:rightChars="400"/>
        <w:jc w:val="right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济宁市兖州区人民政府</w:t>
      </w:r>
    </w:p>
    <w:p>
      <w:pPr>
        <w:adjustRightInd w:val="0"/>
        <w:snapToGrid w:val="0"/>
        <w:spacing w:line="560" w:lineRule="exact"/>
        <w:ind w:right="401"/>
        <w:jc w:val="center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 xml:space="preserve">                          2022年8月25日  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方正仿宋简体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方正仿宋简体" w:cs="Times New Roman"/>
          <w:sz w:val="32"/>
          <w:szCs w:val="32"/>
        </w:rPr>
      </w:pPr>
      <w:r>
        <w:rPr>
          <w:rFonts w:ascii="Times New Roman" w:hAnsi="Times New Roman" w:eastAsia="方正仿宋简体" w:cs="Times New Roman"/>
          <w:sz w:val="32"/>
          <w:szCs w:val="32"/>
        </w:rPr>
        <w:t>（此件公开发布）</w:t>
      </w:r>
    </w:p>
    <w:p>
      <w:pPr>
        <w:adjustRightInd w:val="0"/>
        <w:snapToGrid w:val="0"/>
        <w:spacing w:line="1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3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470" w:lineRule="exact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301625</wp:posOffset>
                </wp:positionV>
                <wp:extent cx="5600700" cy="0"/>
                <wp:effectExtent l="0" t="0" r="19050" b="19050"/>
                <wp:wrapSquare wrapText="bothSides"/>
                <wp:docPr id="1027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margin-left:-0.8pt;margin-top:23.75pt;height:0pt;width:441pt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B8Lvlc1wAAAAgBAAAPAAAAAAAAAAEAIAAAACIAAABkcnMvZG93bnJldi54bWxQSwECFAAU&#10;AAAACACHTuJAbRqRrvIBAADmAwAADgAAAAAAAAABACAAAAAmAQAAZHJzL2Uyb0RvYy54bWxQSwUG&#10;AAAAAAYABgBZAQAAigUAAAAA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sz w:val="28"/>
          <w:szCs w:val="28"/>
        </w:rPr>
        <w:t>抄送：区委办公室，区人大常委会办公室，区政协办公室，区法院，</w:t>
      </w:r>
    </w:p>
    <w:p>
      <w:pPr>
        <w:adjustRightInd w:val="0"/>
        <w:snapToGrid w:val="0"/>
        <w:spacing w:line="470" w:lineRule="exact"/>
        <w:ind w:firstLine="840" w:firstLineChars="400"/>
        <w:rPr>
          <w:rFonts w:ascii="Times New Roman" w:hAnsi="Times New Roman" w:eastAsia="方正仿宋简体" w:cs="Times New Roman"/>
          <w:sz w:val="28"/>
          <w:szCs w:val="28"/>
        </w:rPr>
      </w:pPr>
      <w:r>
        <w:rPr>
          <w:rFonts w:ascii="Times New Roman" w:hAnsi="Times New Roman" w:eastAsia="方正仿宋简体" w:cs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367665</wp:posOffset>
                </wp:positionV>
                <wp:extent cx="5600700" cy="0"/>
                <wp:effectExtent l="0" t="0" r="19050" b="19050"/>
                <wp:wrapSquare wrapText="bothSides"/>
                <wp:docPr id="1028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top:28.95pt;height:0pt;width:441pt;mso-position-horizontal:center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1t9oLdIAAAAGAQAADwAAAAAAAAABACAAAAAiAAAAZHJzL2Rvd25yZXYueG1sUEsBAhQAFAAAAAgA&#10;h07iQEJVQBzyAQAA5QMAAA4AAAAAAAAAAQAgAAAAIQEAAGRycy9lMm9Eb2MueG1sUEsFBgAAAAAG&#10;AAYAWQEAAIUFAAAAAA==&#10;">
                <v:fill on="f" focussize="0,0"/>
                <v:stroke weight="0.5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sz w:val="28"/>
          <w:szCs w:val="28"/>
        </w:rPr>
        <w:t>区检察院。</w:t>
      </w:r>
    </w:p>
    <w:p>
      <w:pPr>
        <w:adjustRightInd w:val="0"/>
        <w:snapToGrid w:val="0"/>
        <w:spacing w:line="500" w:lineRule="exact"/>
        <w:rPr>
          <w:rFonts w:ascii="Times New Roman" w:hAnsi="Times New Roman" w:eastAsia="方正仿宋简体" w:cs="Times New Roman"/>
        </w:rPr>
      </w:pPr>
      <w:r>
        <w:rPr>
          <w:rFonts w:ascii="Times New Roman" w:hAnsi="Times New Roman" w:eastAsia="方正仿宋简体" w:cs="Times New Roman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450850</wp:posOffset>
                </wp:positionV>
                <wp:extent cx="5600700" cy="0"/>
                <wp:effectExtent l="0" t="0" r="19050" b="19050"/>
                <wp:wrapSquare wrapText="bothSides"/>
                <wp:docPr id="1029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6" o:spid="_x0000_s1026" o:spt="20" style="position:absolute;left:0pt;margin-top:35.5pt;height:0pt;width:441pt;mso-position-horizontal:center;mso-wrap-distance-bottom:0pt;mso-wrap-distance-left:9pt;mso-wrap-distance-right:9pt;mso-wrap-distance-top:0pt;z-index:251659264;mso-width-relative:page;mso-height-relative:page;" filled="f" stroked="t" coordsize="21600,21600" o:gfxdata="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M0SK7LUAAAABgEAAA8AAAAAAAAAAQAgAAAAIgAAAGRycy9kb3ducmV2LnhtbFBLAQIUABQAAAAI&#10;AIdO4kD+yXtB8QEAAOYDAAAOAAAAAAAAAAEAIAAAACMBAABkcnMvZTJvRG9jLnhtbFBLBQYAAAAA&#10;BgAGAFkBAACGBQAAAAA=&#10;">
                <v:fill on="f" focussize="0,0"/>
                <v:stroke weight="1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ascii="Times New Roman" w:hAnsi="Times New Roman" w:eastAsia="方正仿宋简体" w:cs="Times New Roman"/>
          <w:sz w:val="28"/>
          <w:szCs w:val="28"/>
        </w:rPr>
        <w:t>济宁市兖州区人民政府办公室　　　           2022年8月25日印发</w:t>
      </w:r>
    </w:p>
    <w:sectPr>
      <w:footerReference r:id="rId3" w:type="default"/>
      <w:footerReference r:id="rId4" w:type="even"/>
      <w:pgSz w:w="11906" w:h="16838"/>
      <w:pgMar w:top="2155" w:right="1588" w:bottom="1304" w:left="1588" w:header="136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3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16"/>
    <w:rsid w:val="002B1F16"/>
    <w:rsid w:val="007D1EFE"/>
    <w:rsid w:val="00985B6F"/>
    <w:rsid w:val="00F56222"/>
    <w:rsid w:val="280D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uiPriority w:val="99"/>
    <w:pPr>
      <w:spacing w:after="120"/>
    </w:pPr>
  </w:style>
  <w:style w:type="paragraph" w:styleId="4">
    <w:name w:val="Body Text Indent 2"/>
    <w:basedOn w:val="1"/>
    <w:qFormat/>
    <w:uiPriority w:val="99"/>
    <w:pPr>
      <w:spacing w:line="520" w:lineRule="exact"/>
      <w:ind w:firstLine="560" w:firstLineChars="200"/>
    </w:pPr>
    <w:rPr>
      <w:sz w:val="28"/>
      <w:szCs w:val="2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10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kern w:val="2"/>
      <w:sz w:val="18"/>
      <w:szCs w:val="18"/>
    </w:rPr>
  </w:style>
  <w:style w:type="character" w:customStyle="1" w:styleId="12">
    <w:name w:val="正文文本 Char"/>
    <w:basedOn w:val="9"/>
    <w:link w:val="3"/>
    <w:semiHidden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3362</Words>
  <Characters>3443</Characters>
  <Lines>1</Lines>
  <Paragraphs>7</Paragraphs>
  <TotalTime>533</TotalTime>
  <ScaleCrop>false</ScaleCrop>
  <LinksUpToDate>false</LinksUpToDate>
  <CharactersWithSpaces>3486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2022-08-17T15:43:00Z</dcterms:created>
  <dc:creator>1</dc:creator>
  <cp:lastModifiedBy>Administrator</cp:lastModifiedBy>
  <dcterms:modified xsi:type="dcterms:W3CDTF">2022-10-10T05:44:40Z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155132EFC82F48CE993378F8FB61E25A</vt:lpwstr>
  </property>
</Properties>
</file>