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济宁市</w:t>
      </w:r>
      <w:r>
        <w:rPr>
          <w:rFonts w:hint="eastAsia" w:ascii="方正小标宋简体" w:eastAsia="方正小标宋简体"/>
          <w:sz w:val="44"/>
          <w:szCs w:val="44"/>
        </w:rPr>
        <w:t>兖州区烟草专卖局烟草制品零售点合理布局规定</w:t>
      </w:r>
      <w:r>
        <w:rPr>
          <w:rFonts w:hint="eastAsia" w:ascii="方正小标宋简体" w:eastAsia="方正小标宋简体"/>
          <w:sz w:val="44"/>
          <w:szCs w:val="44"/>
          <w:lang w:val="en-US" w:eastAsia="zh-CN"/>
        </w:rPr>
        <w:t>征求意见稿</w:t>
      </w:r>
      <w:bookmarkStart w:id="3" w:name="_GoBack"/>
      <w:bookmarkEnd w:id="3"/>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第一章 总则</w:t>
      </w:r>
    </w:p>
    <w:p>
      <w:pPr>
        <w:ind w:firstLine="640" w:firstLineChars="200"/>
        <w:rPr>
          <w:rFonts w:ascii="仿宋_GB2312" w:eastAsia="仿宋_GB2312"/>
          <w:sz w:val="32"/>
          <w:szCs w:val="32"/>
        </w:rPr>
      </w:pPr>
      <w:r>
        <w:rPr>
          <w:rFonts w:hint="eastAsia" w:ascii="仿宋_GB2312" w:eastAsia="仿宋_GB2312"/>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eastAsia="仿宋_GB2312"/>
          <w:sz w:val="32"/>
          <w:szCs w:val="32"/>
        </w:rPr>
        <w:instrText xml:space="preserve">ADDIN CNKISM.UserStyle</w:instrText>
      </w:r>
      <w:r>
        <w:rPr>
          <w:rFonts w:hint="eastAsia" w:ascii="仿宋_GB2312" w:eastAsia="仿宋_GB2312"/>
          <w:sz w:val="32"/>
          <w:szCs w:val="32"/>
        </w:rPr>
        <w:fldChar w:fldCharType="end"/>
      </w:r>
      <w:bookmarkStart w:id="0" w:name="_Hlk81903610"/>
      <w:r>
        <w:rPr>
          <w:rFonts w:hint="eastAsia" w:ascii="仿宋_GB2312" w:eastAsia="仿宋_GB2312"/>
          <w:sz w:val="32"/>
          <w:szCs w:val="32"/>
        </w:rPr>
        <w:t>第一条 为适应行业“放管服”要求，进一步规范和加强济宁市兖州区烟草专卖零售许可管理，保护申请人依法取得烟草专卖零售许可证的平等权利，防止无序过度竞争，切实维护国家利益、卷烟经营者、消费者及未成年人的合法权益，根据《中华人民共和国行政许可法》、《中华人民共和国烟草专卖法》、《中华人民共和国未成年人保护法》、《中华人民共和国烟草专卖法实施条例》及《烟草专卖许可证管理办法》、《烟草专卖许可证管理办法实施细则（试行）》国烟法〔2020〕205号等法律法规和规章制度的规定，结合济宁市兖州区内的人口数量、交通状况、经济发展水平、消费能力等因素，制定本办法。</w:t>
      </w:r>
    </w:p>
    <w:p>
      <w:pPr>
        <w:ind w:firstLine="720" w:firstLineChars="225"/>
        <w:rPr>
          <w:rFonts w:ascii="仿宋_GB2312" w:eastAsia="仿宋_GB2312"/>
          <w:sz w:val="32"/>
          <w:szCs w:val="32"/>
        </w:rPr>
      </w:pPr>
      <w:r>
        <w:rPr>
          <w:rFonts w:hint="eastAsia" w:ascii="仿宋_GB2312" w:eastAsia="仿宋_GB2312"/>
          <w:sz w:val="32"/>
          <w:szCs w:val="32"/>
        </w:rPr>
        <w:t>第二条 烟草零售点布局规定坚持以下工作原则：</w:t>
      </w:r>
    </w:p>
    <w:p>
      <w:pPr>
        <w:ind w:firstLine="720" w:firstLineChars="225"/>
        <w:rPr>
          <w:rFonts w:ascii="仿宋_GB2312" w:eastAsia="仿宋_GB2312"/>
          <w:sz w:val="32"/>
          <w:szCs w:val="32"/>
        </w:rPr>
      </w:pPr>
      <w:r>
        <w:rPr>
          <w:rFonts w:hint="eastAsia" w:ascii="仿宋_GB2312" w:eastAsia="仿宋_GB2312"/>
          <w:sz w:val="32"/>
          <w:szCs w:val="32"/>
        </w:rPr>
        <w:t>（一）依法行政原则。以法律法规规章和国家局规范性文件为依据，保证零售市场准入合法有序，切实满足市场需要和消费者需要。</w:t>
      </w:r>
    </w:p>
    <w:p>
      <w:pPr>
        <w:ind w:firstLine="720" w:firstLineChars="225"/>
        <w:rPr>
          <w:rFonts w:ascii="仿宋_GB2312" w:eastAsia="仿宋_GB2312"/>
          <w:sz w:val="32"/>
          <w:szCs w:val="32"/>
        </w:rPr>
      </w:pPr>
      <w:r>
        <w:rPr>
          <w:rFonts w:hint="eastAsia" w:ascii="仿宋_GB2312" w:eastAsia="仿宋_GB2312"/>
          <w:sz w:val="32"/>
          <w:szCs w:val="32"/>
        </w:rPr>
        <w:t>（二）科学规划原则。结合济宁市兖州区实际情况，既便于消费者购买，又</w:t>
      </w:r>
      <w:bookmarkStart w:id="1" w:name="_Hlk483481457"/>
      <w:r>
        <w:rPr>
          <w:rFonts w:hint="eastAsia" w:ascii="仿宋_GB2312" w:eastAsia="仿宋_GB2312"/>
          <w:sz w:val="32"/>
          <w:szCs w:val="32"/>
        </w:rPr>
        <w:t>限制卷烟零售户之间不当竞争，保证卷烟消费需求</w:t>
      </w:r>
      <w:bookmarkEnd w:id="1"/>
      <w:r>
        <w:rPr>
          <w:rFonts w:hint="eastAsia" w:ascii="仿宋_GB2312" w:eastAsia="仿宋_GB2312"/>
          <w:sz w:val="32"/>
          <w:szCs w:val="32"/>
        </w:rPr>
        <w:t>。</w:t>
      </w:r>
    </w:p>
    <w:p>
      <w:pPr>
        <w:ind w:firstLine="720" w:firstLineChars="225"/>
        <w:rPr>
          <w:rFonts w:ascii="仿宋_GB2312" w:eastAsia="仿宋_GB2312"/>
          <w:sz w:val="32"/>
          <w:szCs w:val="32"/>
        </w:rPr>
      </w:pPr>
      <w:r>
        <w:rPr>
          <w:rFonts w:hint="eastAsia" w:ascii="仿宋_GB2312" w:eastAsia="仿宋_GB2312"/>
          <w:sz w:val="32"/>
          <w:szCs w:val="32"/>
        </w:rPr>
        <w:t>（三）服务社会原则。以服务社会为主，统筹考虑控烟履约、未成年人保护、零售户受益和便利消费者等因素，对具有完全民事行为能力的残疾人、军烈属、低保户等社会弱势群体、优抚对象予以重点帮扶和政策倾斜。</w:t>
      </w:r>
    </w:p>
    <w:p>
      <w:pPr>
        <w:ind w:firstLine="720" w:firstLineChars="225"/>
        <w:rPr>
          <w:rFonts w:ascii="仿宋_GB2312" w:eastAsia="仿宋_GB2312"/>
          <w:sz w:val="32"/>
          <w:szCs w:val="32"/>
        </w:rPr>
      </w:pPr>
      <w:r>
        <w:rPr>
          <w:rFonts w:hint="eastAsia" w:ascii="仿宋_GB2312" w:eastAsia="仿宋_GB2312"/>
          <w:sz w:val="32"/>
          <w:szCs w:val="32"/>
        </w:rPr>
        <w:t>（四）均衡发展原则。保持零售点分布与卷烟市场区位相协调，零售点数量与烟草制品消费需求相适应，对零售点增长过快区域进行调控，维护零售点数量的合理稳定，在便利消费的同时坚持零售点数量稍紧平衡。</w:t>
      </w:r>
    </w:p>
    <w:p>
      <w:pPr>
        <w:pStyle w:val="10"/>
        <w:shd w:val="clear" w:color="auto" w:fill="auto"/>
        <w:spacing w:line="360" w:lineRule="auto"/>
        <w:ind w:firstLine="640" w:firstLineChars="200"/>
        <w:rPr>
          <w:rFonts w:ascii="仿宋_GB2312" w:eastAsia="仿宋_GB2312" w:hAnsiTheme="minorHAnsi"/>
          <w:sz w:val="32"/>
          <w:szCs w:val="32"/>
          <w:shd w:val="clear" w:color="auto" w:fill="auto"/>
          <w:lang w:val="en-US"/>
        </w:rPr>
      </w:pPr>
      <w:r>
        <w:rPr>
          <w:rFonts w:hint="eastAsia" w:ascii="仿宋_GB2312" w:eastAsia="仿宋_GB2312" w:hAnsiTheme="minorHAnsi"/>
          <w:sz w:val="32"/>
          <w:szCs w:val="32"/>
          <w:shd w:val="clear" w:color="auto" w:fill="auto"/>
          <w:lang w:val="en-US"/>
        </w:rPr>
        <w:t>第三条 本办法所称的烟草制品零售点（以下简称零售点）是指经申请依法取得烟草专卖零售许可证从事烟草制品零售业务的经营场所。</w:t>
      </w:r>
    </w:p>
    <w:p>
      <w:pPr>
        <w:pStyle w:val="10"/>
        <w:shd w:val="clear" w:color="auto" w:fill="auto"/>
        <w:spacing w:line="360" w:lineRule="auto"/>
        <w:ind w:firstLine="640" w:firstLineChars="200"/>
        <w:rPr>
          <w:rFonts w:ascii="仿宋_GB2312" w:eastAsia="仿宋_GB2312" w:hAnsiTheme="minorHAnsi"/>
          <w:sz w:val="32"/>
          <w:szCs w:val="32"/>
          <w:shd w:val="clear" w:color="auto" w:fill="auto"/>
          <w:lang w:val="en-US"/>
        </w:rPr>
      </w:pPr>
      <w:r>
        <w:rPr>
          <w:rFonts w:hint="eastAsia" w:ascii="仿宋_GB2312" w:eastAsia="仿宋_GB2312" w:hAnsiTheme="minorHAnsi"/>
          <w:sz w:val="32"/>
          <w:szCs w:val="32"/>
          <w:shd w:val="clear" w:color="auto" w:fill="auto"/>
          <w:lang w:val="en-US"/>
        </w:rPr>
        <w:t>第四条 本办法所称烟草制品，特指卷烟、雪茄烟。</w:t>
      </w:r>
    </w:p>
    <w:p>
      <w:pPr>
        <w:pStyle w:val="10"/>
        <w:shd w:val="clear" w:color="auto" w:fill="auto"/>
        <w:spacing w:line="360" w:lineRule="auto"/>
        <w:ind w:firstLine="640" w:firstLineChars="200"/>
        <w:rPr>
          <w:rFonts w:ascii="仿宋_GB2312" w:eastAsia="仿宋_GB2312" w:hAnsiTheme="minorHAnsi"/>
          <w:sz w:val="32"/>
          <w:szCs w:val="32"/>
          <w:shd w:val="clear" w:color="auto" w:fill="auto"/>
          <w:lang w:val="en-US"/>
        </w:rPr>
      </w:pPr>
      <w:r>
        <w:rPr>
          <w:rFonts w:hint="eastAsia" w:ascii="仿宋_GB2312" w:eastAsia="仿宋_GB2312" w:hAnsiTheme="minorHAnsi"/>
          <w:sz w:val="32"/>
          <w:szCs w:val="32"/>
          <w:shd w:val="clear" w:color="auto" w:fill="auto"/>
          <w:lang w:val="en-US"/>
        </w:rPr>
        <w:t>第五条 本办法适用于济宁市兖州区现行政管辖区域及济宁国家高新区内的黄屯街道办事处、王因街道办事处所属区域（以下简称辖区内）烟草制品零售点的布局设置。</w:t>
      </w:r>
    </w:p>
    <w:p>
      <w:pPr>
        <w:jc w:val="center"/>
        <w:rPr>
          <w:rFonts w:ascii="黑体" w:hAnsi="黑体" w:eastAsia="黑体"/>
          <w:sz w:val="32"/>
          <w:szCs w:val="32"/>
        </w:rPr>
      </w:pPr>
      <w:r>
        <w:rPr>
          <w:rFonts w:hint="eastAsia" w:ascii="黑体" w:hAnsi="黑体" w:eastAsia="黑体"/>
          <w:sz w:val="32"/>
          <w:szCs w:val="32"/>
        </w:rPr>
        <w:t>第二章 烟草制品零售点申请条件和布局标准</w:t>
      </w:r>
    </w:p>
    <w:p>
      <w:pPr>
        <w:pStyle w:val="10"/>
        <w:shd w:val="clear" w:color="auto" w:fill="auto"/>
        <w:spacing w:line="360" w:lineRule="auto"/>
        <w:ind w:firstLine="640" w:firstLineChars="200"/>
        <w:rPr>
          <w:rFonts w:ascii="仿宋_GB2312" w:eastAsia="仿宋_GB2312" w:hAnsiTheme="minorHAnsi"/>
          <w:sz w:val="32"/>
          <w:szCs w:val="32"/>
          <w:shd w:val="clear" w:color="auto" w:fill="auto"/>
          <w:lang w:val="en-US"/>
        </w:rPr>
      </w:pPr>
      <w:r>
        <w:rPr>
          <w:rFonts w:hint="eastAsia" w:ascii="仿宋_GB2312" w:eastAsia="仿宋_GB2312" w:hAnsiTheme="minorHAnsi"/>
          <w:sz w:val="32"/>
          <w:szCs w:val="32"/>
          <w:shd w:val="clear" w:color="auto" w:fill="auto"/>
          <w:lang w:val="en-US"/>
        </w:rPr>
        <w:t>第六条 申请烟草专卖零售许可证的基本条件要求</w:t>
      </w:r>
    </w:p>
    <w:p>
      <w:pPr>
        <w:pStyle w:val="10"/>
        <w:shd w:val="clear" w:color="auto" w:fill="auto"/>
        <w:spacing w:line="360" w:lineRule="auto"/>
        <w:ind w:firstLine="640" w:firstLineChars="200"/>
        <w:rPr>
          <w:rFonts w:ascii="仿宋_GB2312" w:eastAsia="仿宋_GB2312" w:hAnsiTheme="minorHAnsi"/>
          <w:sz w:val="32"/>
          <w:szCs w:val="32"/>
          <w:shd w:val="clear" w:color="auto" w:fill="auto"/>
          <w:lang w:val="en-US"/>
        </w:rPr>
      </w:pPr>
      <w:r>
        <w:rPr>
          <w:rFonts w:hint="eastAsia" w:ascii="仿宋_GB2312" w:eastAsia="仿宋_GB2312" w:hAnsiTheme="minorHAnsi"/>
          <w:sz w:val="32"/>
          <w:szCs w:val="32"/>
          <w:shd w:val="clear" w:color="auto" w:fill="auto"/>
          <w:lang w:val="en-US"/>
        </w:rPr>
        <w:t>（一）申请人申请设立烟草制品零售点，应具备与经营烟草制品零售业务相适应的资金条件。</w:t>
      </w:r>
    </w:p>
    <w:p>
      <w:pPr>
        <w:pStyle w:val="10"/>
        <w:shd w:val="clear" w:color="auto" w:fill="auto"/>
        <w:spacing w:line="360" w:lineRule="auto"/>
        <w:ind w:firstLine="640" w:firstLineChars="200"/>
        <w:rPr>
          <w:rFonts w:ascii="仿宋_GB2312" w:eastAsia="仿宋_GB2312" w:hAnsiTheme="minorHAnsi"/>
          <w:sz w:val="32"/>
          <w:szCs w:val="32"/>
          <w:shd w:val="clear" w:color="auto" w:fill="auto"/>
          <w:lang w:val="en-US"/>
        </w:rPr>
      </w:pPr>
      <w:r>
        <w:rPr>
          <w:rFonts w:hint="eastAsia" w:ascii="仿宋_GB2312" w:eastAsia="仿宋_GB2312" w:hAnsiTheme="minorHAnsi"/>
          <w:sz w:val="32"/>
          <w:szCs w:val="32"/>
          <w:shd w:val="clear" w:color="auto" w:fill="auto"/>
          <w:lang w:val="en-US"/>
        </w:rPr>
        <w:t>（二）有与住所相独立的经营场所，指经营场所与生活区域相独立，可对消费者平层全开放，不包含住宅、公寓、生活住所的地下室、储藏室、车库等场所；</w:t>
      </w:r>
    </w:p>
    <w:p>
      <w:pPr>
        <w:pStyle w:val="10"/>
        <w:shd w:val="clear" w:color="auto" w:fill="auto"/>
        <w:spacing w:line="360" w:lineRule="auto"/>
        <w:ind w:firstLine="640" w:firstLineChars="200"/>
        <w:rPr>
          <w:rFonts w:ascii="仿宋_GB2312" w:eastAsia="仿宋_GB2312"/>
          <w:sz w:val="32"/>
          <w:szCs w:val="32"/>
        </w:rPr>
      </w:pPr>
      <w:r>
        <w:rPr>
          <w:rFonts w:hint="eastAsia" w:ascii="仿宋_GB2312" w:eastAsia="仿宋_GB2312" w:hAnsiTheme="minorHAnsi"/>
          <w:sz w:val="32"/>
          <w:szCs w:val="32"/>
          <w:shd w:val="clear" w:color="auto" w:fill="auto"/>
          <w:lang w:val="en-US"/>
        </w:rPr>
        <w:t>（三）有固定经营场所，指登记经营场所由砖、木、钢、混等材料建成，形成可封闭且不可移动空间的，不包含流动</w:t>
      </w:r>
      <w:r>
        <w:rPr>
          <w:rFonts w:hint="eastAsia" w:ascii="仿宋_GB2312" w:eastAsia="仿宋_GB2312"/>
          <w:sz w:val="32"/>
          <w:szCs w:val="32"/>
        </w:rPr>
        <w:t>摊点、售货车、临时棚舍、集装箱屋等，且有实物商品展示的经营设施。</w:t>
      </w:r>
    </w:p>
    <w:p>
      <w:pPr>
        <w:ind w:firstLine="640" w:firstLineChars="200"/>
        <w:rPr>
          <w:rFonts w:ascii="仿宋_GB2312" w:eastAsia="仿宋_GB2312"/>
          <w:sz w:val="32"/>
          <w:szCs w:val="32"/>
        </w:rPr>
      </w:pPr>
      <w:r>
        <w:rPr>
          <w:rFonts w:hint="eastAsia" w:ascii="仿宋_GB2312" w:eastAsia="仿宋_GB2312"/>
          <w:sz w:val="32"/>
          <w:szCs w:val="32"/>
        </w:rPr>
        <w:t>第七条 辖区烟草制品零售点布局标准 :</w:t>
      </w:r>
    </w:p>
    <w:p>
      <w:pPr>
        <w:ind w:firstLine="640" w:firstLineChars="200"/>
        <w:rPr>
          <w:rFonts w:ascii="仿宋_GB2312" w:eastAsia="仿宋_GB2312"/>
          <w:sz w:val="32"/>
          <w:szCs w:val="32"/>
        </w:rPr>
      </w:pPr>
      <w:r>
        <w:rPr>
          <w:rFonts w:hint="eastAsia" w:ascii="仿宋_GB2312" w:eastAsia="仿宋_GB2312"/>
          <w:sz w:val="32"/>
          <w:szCs w:val="32"/>
        </w:rPr>
        <w:t>（一）城区主干道及乡镇政府驻地街道申请办理烟草专卖零售许可证的距离同侧最近的零售点不少于50米，异侧不少于30米；城区非主干道及乡镇其他街道（巷道）申请办理烟草专卖零售许可证的距离最近的零售点不少于40米；</w:t>
      </w:r>
    </w:p>
    <w:p>
      <w:pPr>
        <w:ind w:firstLine="640" w:firstLineChars="200"/>
        <w:rPr>
          <w:rFonts w:ascii="仿宋_GB2312" w:eastAsia="仿宋_GB2312"/>
          <w:sz w:val="32"/>
          <w:szCs w:val="32"/>
        </w:rPr>
      </w:pPr>
      <w:r>
        <w:rPr>
          <w:rFonts w:hint="eastAsia" w:ascii="仿宋_GB2312" w:eastAsia="仿宋_GB2312"/>
          <w:sz w:val="32"/>
          <w:szCs w:val="32"/>
        </w:rPr>
        <w:t>（二）居民小区、乡村社区按照居民户数设置零售点,每300户设置1个零售点，不足300户的按300户计算，每增加300户增设1个零售点，最多不超过5户且两个零售点之间距离不少于50米。</w:t>
      </w:r>
    </w:p>
    <w:p>
      <w:pPr>
        <w:ind w:firstLine="640" w:firstLineChars="200"/>
        <w:rPr>
          <w:rFonts w:ascii="仿宋_GB2312" w:eastAsia="仿宋_GB2312"/>
          <w:sz w:val="32"/>
          <w:szCs w:val="32"/>
        </w:rPr>
      </w:pPr>
      <w:r>
        <w:rPr>
          <w:rFonts w:hint="eastAsia" w:ascii="仿宋_GB2312" w:eastAsia="仿宋_GB2312"/>
          <w:sz w:val="32"/>
          <w:szCs w:val="32"/>
        </w:rPr>
        <w:t>（三）行政村、自然村零售点按户数进行布局，每300户设置1个零售点，不足300户的按300户计算，每增加300户增设一个零售点，最多不超过</w:t>
      </w:r>
      <w:r>
        <w:rPr>
          <w:rFonts w:ascii="仿宋_GB2312" w:eastAsia="仿宋_GB2312"/>
          <w:sz w:val="32"/>
          <w:szCs w:val="32"/>
        </w:rPr>
        <w:t>3</w:t>
      </w:r>
      <w:r>
        <w:rPr>
          <w:rFonts w:hint="eastAsia" w:ascii="仿宋_GB2312" w:eastAsia="仿宋_GB2312"/>
          <w:sz w:val="32"/>
          <w:szCs w:val="32"/>
        </w:rPr>
        <w:t>户且两个零售点之间距离不少于50米。</w:t>
      </w:r>
    </w:p>
    <w:p>
      <w:pPr>
        <w:ind w:firstLine="640" w:firstLineChars="200"/>
        <w:rPr>
          <w:rFonts w:ascii="仿宋_GB2312" w:eastAsia="仿宋_GB2312"/>
          <w:sz w:val="32"/>
          <w:szCs w:val="32"/>
        </w:rPr>
      </w:pPr>
      <w:r>
        <w:rPr>
          <w:rFonts w:hint="eastAsia" w:ascii="仿宋_GB2312" w:eastAsia="仿宋_GB2312"/>
          <w:sz w:val="32"/>
          <w:szCs w:val="32"/>
        </w:rPr>
        <w:t>（四）毗邻街道的小区门面，朝向小区内经营的，依照小区内零售点设置标准办理；朝向小区外经营的，按所在街道地域间距标准办理。乡村社区未完成改造的区域，按照行政村、自然村零售点合理布局规定执行，不计入乡村社区居民户数。</w:t>
      </w:r>
    </w:p>
    <w:p>
      <w:pPr>
        <w:ind w:firstLine="640" w:firstLineChars="200"/>
        <w:rPr>
          <w:rFonts w:ascii="仿宋_GB2312" w:eastAsia="仿宋_GB2312"/>
          <w:sz w:val="32"/>
          <w:szCs w:val="32"/>
        </w:rPr>
      </w:pPr>
      <w:r>
        <w:rPr>
          <w:rFonts w:hint="eastAsia" w:ascii="仿宋_GB2312" w:eastAsia="仿宋_GB2312"/>
          <w:sz w:val="32"/>
          <w:szCs w:val="32"/>
        </w:rPr>
        <w:t>（五）国道、省道公路及县乡公路沿线（不含贯穿县城、乡镇或村屯集市的路段）的零售点间距不得少于200米。</w:t>
      </w:r>
    </w:p>
    <w:p>
      <w:pPr>
        <w:ind w:firstLine="640" w:firstLineChars="200"/>
        <w:rPr>
          <w:rFonts w:ascii="仿宋_GB2312" w:eastAsia="仿宋_GB2312"/>
          <w:sz w:val="32"/>
          <w:szCs w:val="32"/>
        </w:rPr>
      </w:pPr>
      <w:r>
        <w:rPr>
          <w:rFonts w:hint="eastAsia" w:ascii="仿宋_GB2312" w:eastAsia="仿宋_GB2312"/>
          <w:sz w:val="32"/>
          <w:szCs w:val="32"/>
        </w:rPr>
        <w:t>（六）连锁超市、高速公路服务区、加油站内设有便利店的，在配齐安全防控设施设备的前提下，按照“一店一证”申请办理烟草专卖零售许可证。</w:t>
      </w:r>
    </w:p>
    <w:p>
      <w:pPr>
        <w:ind w:firstLine="640" w:firstLineChars="200"/>
        <w:rPr>
          <w:rFonts w:ascii="仿宋_GB2312" w:eastAsia="仿宋_GB2312"/>
          <w:sz w:val="32"/>
          <w:szCs w:val="32"/>
        </w:rPr>
      </w:pPr>
      <w:r>
        <w:rPr>
          <w:rFonts w:hint="eastAsia" w:ascii="仿宋_GB2312" w:eastAsia="仿宋_GB2312"/>
          <w:sz w:val="32"/>
          <w:szCs w:val="32"/>
        </w:rPr>
        <w:t>（七）同一地址只能设置1个零售点。两个或两个以上在同一区域提出烟草专卖行政许可申请的，根据受理先后顺序作出是否准予许可的决定。</w:t>
      </w:r>
    </w:p>
    <w:p>
      <w:pPr>
        <w:ind w:firstLine="640" w:firstLineChars="200"/>
        <w:rPr>
          <w:rFonts w:ascii="仿宋_GB2312" w:eastAsia="仿宋_GB2312"/>
          <w:sz w:val="32"/>
          <w:szCs w:val="32"/>
        </w:rPr>
      </w:pPr>
      <w:r>
        <w:rPr>
          <w:rFonts w:hint="eastAsia" w:ascii="仿宋_GB2312" w:eastAsia="仿宋_GB2312"/>
          <w:sz w:val="32"/>
          <w:szCs w:val="32"/>
        </w:rPr>
        <w:t>（八）在零售点饱和区域内，采取“退一进一”方式增加零售点，“退一进一”指一户持证零售户退出卷烟经营后则可新办一户。</w:t>
      </w:r>
    </w:p>
    <w:p>
      <w:pPr>
        <w:ind w:firstLine="640" w:firstLineChars="200"/>
        <w:rPr>
          <w:rFonts w:ascii="仿宋_GB2312" w:eastAsia="仿宋_GB2312"/>
          <w:sz w:val="32"/>
          <w:szCs w:val="32"/>
        </w:rPr>
      </w:pPr>
      <w:r>
        <w:rPr>
          <w:rFonts w:hint="eastAsia" w:ascii="仿宋_GB2312" w:eastAsia="仿宋_GB2312"/>
          <w:sz w:val="32"/>
          <w:szCs w:val="32"/>
        </w:rPr>
        <w:t>第八条 特殊经营场所烟草制品零售点布局标准:</w:t>
      </w:r>
    </w:p>
    <w:p>
      <w:pPr>
        <w:ind w:firstLine="640" w:firstLineChars="200"/>
        <w:rPr>
          <w:rFonts w:ascii="仿宋_GB2312" w:eastAsia="仿宋_GB2312"/>
          <w:sz w:val="32"/>
          <w:szCs w:val="32"/>
        </w:rPr>
      </w:pPr>
      <w:bookmarkStart w:id="2" w:name="_Hlk484015392"/>
      <w:r>
        <w:rPr>
          <w:rFonts w:hint="eastAsia" w:ascii="仿宋_GB2312" w:eastAsia="仿宋_GB2312"/>
          <w:sz w:val="32"/>
          <w:szCs w:val="32"/>
        </w:rPr>
        <w:t>（一）各类综合性批发市场、集贸市场、专业市场、大型商业综合体等区域内，经营业户在100户（含）以下的可设置1个零售点，每增加100户，可增设1个，区域内最多不超过5个。</w:t>
      </w:r>
      <w:bookmarkEnd w:id="2"/>
      <w:r>
        <w:rPr>
          <w:rFonts w:hint="eastAsia" w:ascii="仿宋_GB2312" w:eastAsia="仿宋_GB2312"/>
          <w:sz w:val="32"/>
          <w:szCs w:val="32"/>
        </w:rPr>
        <w:t>沿街的门头属于市场各类综合性批发市场、集贸市场、专业市场、大型商业综合体等区域内，零售点之间距离不少于50米。</w:t>
      </w:r>
    </w:p>
    <w:p>
      <w:pPr>
        <w:ind w:firstLine="640" w:firstLineChars="200"/>
        <w:rPr>
          <w:rFonts w:ascii="仿宋_GB2312" w:eastAsia="仿宋_GB2312"/>
          <w:sz w:val="32"/>
          <w:szCs w:val="32"/>
        </w:rPr>
      </w:pPr>
      <w:r>
        <w:rPr>
          <w:rFonts w:hint="eastAsia" w:ascii="仿宋_GB2312" w:eastAsia="仿宋_GB2312"/>
          <w:sz w:val="32"/>
          <w:szCs w:val="32"/>
        </w:rPr>
        <w:t>（二）工业园区的工厂等单位、大型厂矿每满500人可设置1个零售点，区域内总量不超过2个零售点。</w:t>
      </w:r>
    </w:p>
    <w:p>
      <w:pPr>
        <w:ind w:firstLine="640" w:firstLineChars="200"/>
        <w:rPr>
          <w:rFonts w:ascii="仿宋_GB2312" w:eastAsia="仿宋_GB2312"/>
          <w:sz w:val="32"/>
          <w:szCs w:val="32"/>
        </w:rPr>
      </w:pPr>
      <w:r>
        <w:rPr>
          <w:rFonts w:hint="eastAsia" w:ascii="仿宋_GB2312" w:eastAsia="仿宋_GB2312"/>
          <w:sz w:val="32"/>
          <w:szCs w:val="32"/>
        </w:rPr>
        <w:t>（三）高速公路服务区内可设置1个零售点、车站、机场等交通站点的每个候车场所内可设置2个零售点，且与最近的零售点距离不少于50米。该交通站点功能区域内（候车广场、停车场等）的零售点设置总数不得超过5个，且与最近的零售点距离不少于50米。</w:t>
      </w:r>
    </w:p>
    <w:p>
      <w:pPr>
        <w:ind w:firstLine="640" w:firstLineChars="200"/>
        <w:rPr>
          <w:rFonts w:ascii="仿宋_GB2312" w:eastAsia="仿宋_GB2312"/>
          <w:sz w:val="32"/>
          <w:szCs w:val="32"/>
        </w:rPr>
      </w:pPr>
      <w:r>
        <w:rPr>
          <w:rFonts w:hint="eastAsia" w:ascii="仿宋_GB2312" w:eastAsia="仿宋_GB2312"/>
          <w:sz w:val="32"/>
          <w:szCs w:val="32"/>
        </w:rPr>
        <w:t>（四）军事管理区、监狱、看守所、养老院等只对内经营的场所，区域内可设置1个零售点。</w:t>
      </w:r>
    </w:p>
    <w:p>
      <w:pPr>
        <w:ind w:firstLine="640" w:firstLineChars="200"/>
        <w:rPr>
          <w:rFonts w:ascii="仿宋_GB2312" w:eastAsia="仿宋_GB2312"/>
          <w:sz w:val="32"/>
          <w:szCs w:val="32"/>
        </w:rPr>
      </w:pPr>
      <w:r>
        <w:rPr>
          <w:rFonts w:hint="eastAsia" w:ascii="仿宋_GB2312" w:eastAsia="仿宋_GB2312"/>
          <w:sz w:val="32"/>
          <w:szCs w:val="32"/>
        </w:rPr>
        <w:t>（五）以旅游度假为主的旅游小镇、餐饮聚集区、小吃城等服务区域，区域内商户不足150个的可设置1个零售点；商户超过150个的，每增加150户可增设1个零售点，区域内总量不超过3个，且零售点之间距离不少于50米。</w:t>
      </w:r>
    </w:p>
    <w:p>
      <w:pPr>
        <w:ind w:firstLine="640" w:firstLineChars="200"/>
        <w:rPr>
          <w:rFonts w:ascii="仿宋_GB2312" w:eastAsia="仿宋_GB2312"/>
          <w:sz w:val="32"/>
          <w:szCs w:val="32"/>
        </w:rPr>
      </w:pPr>
      <w:r>
        <w:rPr>
          <w:rFonts w:hint="eastAsia" w:ascii="仿宋_GB2312" w:eastAsia="仿宋_GB2312"/>
          <w:sz w:val="32"/>
          <w:szCs w:val="32"/>
        </w:rPr>
        <w:t>第九条 具有以下情形的，在零售点数量、间距等方面可适当放宽准入条件：</w:t>
      </w:r>
    </w:p>
    <w:p>
      <w:pPr>
        <w:ind w:firstLine="640" w:firstLineChars="200"/>
        <w:rPr>
          <w:rFonts w:ascii="仿宋_GB2312" w:eastAsia="仿宋_GB2312"/>
          <w:sz w:val="32"/>
          <w:szCs w:val="32"/>
        </w:rPr>
      </w:pPr>
      <w:r>
        <w:rPr>
          <w:rFonts w:hint="eastAsia" w:ascii="仿宋_GB2312" w:eastAsia="仿宋_GB2312"/>
          <w:sz w:val="32"/>
          <w:szCs w:val="32"/>
        </w:rPr>
        <w:t>（一）革命伤残军人、军烈属、残疾人（具有完全民事行为能力和自主经营能力）、城镇特困职工等社会弱势群体，凭当地民政、残联等部门发放的有效证件首次申办专卖零售许可证的。</w:t>
      </w:r>
    </w:p>
    <w:p>
      <w:pPr>
        <w:ind w:firstLine="640" w:firstLineChars="200"/>
        <w:rPr>
          <w:rFonts w:ascii="仿宋_GB2312" w:eastAsia="仿宋_GB2312"/>
          <w:sz w:val="32"/>
          <w:szCs w:val="32"/>
        </w:rPr>
      </w:pPr>
      <w:r>
        <w:rPr>
          <w:rFonts w:hint="eastAsia" w:ascii="仿宋_GB2312" w:eastAsia="仿宋_GB2312"/>
          <w:sz w:val="32"/>
          <w:szCs w:val="32"/>
        </w:rPr>
        <w:t>（二）因道路规划、城市建设等客观原因造成无法在核定经营地址经营，持证人申请变更到原发证机关辖区内其他地址经营的。</w:t>
      </w:r>
    </w:p>
    <w:p>
      <w:pPr>
        <w:ind w:firstLine="640" w:firstLineChars="200"/>
        <w:rPr>
          <w:rFonts w:ascii="仿宋_GB2312" w:eastAsia="仿宋_GB2312"/>
          <w:sz w:val="32"/>
          <w:szCs w:val="32"/>
        </w:rPr>
      </w:pPr>
      <w:r>
        <w:rPr>
          <w:rFonts w:hint="eastAsia" w:ascii="仿宋_GB2312" w:eastAsia="仿宋_GB2312"/>
          <w:sz w:val="32"/>
          <w:szCs w:val="32"/>
        </w:rPr>
        <w:t>（三）距离中小学校、幼儿园出入口</w:t>
      </w:r>
      <w:r>
        <w:rPr>
          <w:rFonts w:hint="eastAsia" w:ascii="仿宋_GB2312" w:eastAsia="仿宋_GB2312"/>
          <w:sz w:val="32"/>
          <w:szCs w:val="32"/>
          <w:lang w:val="en-US" w:eastAsia="zh-CN"/>
        </w:rPr>
        <w:t>50</w:t>
      </w:r>
      <w:r>
        <w:rPr>
          <w:rFonts w:hint="eastAsia" w:ascii="仿宋_GB2312" w:eastAsia="仿宋_GB2312"/>
          <w:sz w:val="32"/>
          <w:szCs w:val="32"/>
        </w:rPr>
        <w:t>米范围内的持证零售户，在原许可证有效期内、经营主体未发生变化搬迁至其他地址经营的。</w:t>
      </w:r>
    </w:p>
    <w:p>
      <w:pPr>
        <w:ind w:firstLine="640" w:firstLineChars="200"/>
        <w:rPr>
          <w:rFonts w:ascii="仿宋_GB2312" w:eastAsia="仿宋_GB2312"/>
          <w:sz w:val="32"/>
          <w:szCs w:val="32"/>
        </w:rPr>
      </w:pPr>
      <w:r>
        <w:rPr>
          <w:rFonts w:hint="eastAsia" w:ascii="仿宋_GB2312" w:eastAsia="仿宋_GB2312"/>
          <w:sz w:val="32"/>
          <w:szCs w:val="32"/>
        </w:rPr>
        <w:t>（四）专属营业区域的面积在500平方米以上（不包括独立的仓储、办公区域、公共通道、停车场等）的超级市场、百货商店等场所。</w:t>
      </w:r>
    </w:p>
    <w:p>
      <w:pPr>
        <w:ind w:firstLine="640" w:firstLineChars="200"/>
        <w:rPr>
          <w:rFonts w:ascii="仿宋_GB2312" w:eastAsia="仿宋_GB2312"/>
          <w:sz w:val="32"/>
          <w:szCs w:val="32"/>
        </w:rPr>
      </w:pPr>
      <w:r>
        <w:rPr>
          <w:rFonts w:hint="eastAsia" w:ascii="仿宋_GB2312" w:eastAsia="仿宋_GB2312"/>
          <w:sz w:val="32"/>
          <w:szCs w:val="32"/>
        </w:rPr>
        <w:t>第十条 现有烟草专卖零售许可证的零售户因下列情形之一重新申请办理烟草专卖零售许可证时，可以不受间距、数量限制：</w:t>
      </w:r>
    </w:p>
    <w:p>
      <w:pPr>
        <w:ind w:firstLine="640" w:firstLineChars="200"/>
        <w:rPr>
          <w:rFonts w:ascii="仿宋_GB2312" w:eastAsia="仿宋_GB2312"/>
          <w:sz w:val="32"/>
          <w:szCs w:val="32"/>
        </w:rPr>
      </w:pPr>
      <w:r>
        <w:rPr>
          <w:rFonts w:hint="eastAsia" w:ascii="仿宋_GB2312" w:eastAsia="仿宋_GB2312"/>
          <w:sz w:val="32"/>
          <w:szCs w:val="32"/>
        </w:rPr>
        <w:t>（一）个体工商户转型为企业的;</w:t>
      </w:r>
    </w:p>
    <w:p>
      <w:pPr>
        <w:ind w:firstLine="640" w:firstLineChars="200"/>
        <w:rPr>
          <w:rFonts w:ascii="仿宋_GB2312" w:eastAsia="仿宋_GB2312"/>
          <w:sz w:val="32"/>
          <w:szCs w:val="32"/>
        </w:rPr>
      </w:pPr>
      <w:r>
        <w:rPr>
          <w:rFonts w:hint="eastAsia" w:ascii="仿宋_GB2312" w:eastAsia="仿宋_GB2312"/>
          <w:sz w:val="32"/>
          <w:szCs w:val="32"/>
        </w:rPr>
        <w:t>（二）企业类型改变且符合烟草专卖零售许可证管理相关规定的;</w:t>
      </w:r>
    </w:p>
    <w:p>
      <w:pPr>
        <w:ind w:firstLine="640" w:firstLineChars="200"/>
        <w:rPr>
          <w:rFonts w:ascii="仿宋_GB2312" w:eastAsia="仿宋_GB2312"/>
          <w:sz w:val="32"/>
          <w:szCs w:val="32"/>
        </w:rPr>
      </w:pPr>
      <w:r>
        <w:rPr>
          <w:rFonts w:hint="eastAsia" w:ascii="仿宋_GB2312" w:eastAsia="仿宋_GB2312"/>
          <w:sz w:val="32"/>
          <w:szCs w:val="32"/>
        </w:rPr>
        <w:t>（三）企业内部转制改变经营主体的;</w:t>
      </w:r>
    </w:p>
    <w:p>
      <w:pPr>
        <w:ind w:firstLine="640" w:firstLineChars="200"/>
        <w:rPr>
          <w:rFonts w:ascii="仿宋_GB2312" w:eastAsia="仿宋_GB2312"/>
          <w:sz w:val="32"/>
          <w:szCs w:val="32"/>
        </w:rPr>
      </w:pPr>
      <w:r>
        <w:rPr>
          <w:rFonts w:hint="eastAsia" w:ascii="仿宋_GB2312" w:eastAsia="仿宋_GB2312"/>
          <w:sz w:val="32"/>
          <w:szCs w:val="32"/>
        </w:rPr>
        <w:t>（四）在父母、配偶、子女及其配偶之间改变经营主体的;</w:t>
      </w:r>
    </w:p>
    <w:p>
      <w:pPr>
        <w:ind w:firstLine="640" w:firstLineChars="200"/>
        <w:rPr>
          <w:rFonts w:ascii="仿宋_GB2312" w:eastAsia="仿宋_GB2312"/>
          <w:sz w:val="32"/>
          <w:szCs w:val="32"/>
        </w:rPr>
      </w:pPr>
      <w:r>
        <w:rPr>
          <w:rFonts w:hint="eastAsia" w:ascii="仿宋_GB2312" w:eastAsia="仿宋_GB2312"/>
          <w:sz w:val="32"/>
          <w:szCs w:val="32"/>
        </w:rPr>
        <w:t>（六）法院判决、法人或其他组织分立、合并等原因改变经营主体的。</w:t>
      </w:r>
    </w:p>
    <w:p>
      <w:pPr>
        <w:ind w:firstLine="640" w:firstLineChars="200"/>
        <w:rPr>
          <w:rFonts w:ascii="仿宋_GB2312" w:eastAsia="仿宋_GB2312"/>
          <w:sz w:val="32"/>
          <w:szCs w:val="32"/>
        </w:rPr>
      </w:pPr>
      <w:r>
        <w:rPr>
          <w:rFonts w:hint="eastAsia" w:ascii="仿宋_GB2312" w:eastAsia="仿宋_GB2312"/>
          <w:sz w:val="32"/>
          <w:szCs w:val="32"/>
        </w:rPr>
        <w:t>第十一条 不予设置烟草制品零售点的情形</w:t>
      </w:r>
    </w:p>
    <w:p>
      <w:pPr>
        <w:ind w:firstLine="640" w:firstLineChars="200"/>
        <w:rPr>
          <w:rFonts w:ascii="仿宋_GB2312" w:eastAsia="仿宋_GB2312"/>
          <w:sz w:val="32"/>
          <w:szCs w:val="32"/>
        </w:rPr>
      </w:pPr>
      <w:r>
        <w:rPr>
          <w:rFonts w:hint="eastAsia" w:ascii="仿宋_GB2312" w:eastAsia="仿宋_GB2312"/>
          <w:sz w:val="32"/>
          <w:szCs w:val="32"/>
        </w:rPr>
        <w:t>（一）经营场所位于中小学、幼儿园校园及距离校园出入口最短可通行间距</w:t>
      </w:r>
      <w:r>
        <w:rPr>
          <w:rFonts w:hint="eastAsia" w:ascii="仿宋_GB2312" w:eastAsia="仿宋_GB2312"/>
          <w:sz w:val="32"/>
          <w:szCs w:val="32"/>
          <w:lang w:val="en-US" w:eastAsia="zh-CN"/>
        </w:rPr>
        <w:t>50</w:t>
      </w:r>
      <w:r>
        <w:rPr>
          <w:rFonts w:hint="eastAsia" w:ascii="仿宋_GB2312" w:eastAsia="仿宋_GB2312"/>
          <w:sz w:val="32"/>
          <w:szCs w:val="32"/>
        </w:rPr>
        <w:t>米区域以内的。本办法实施前，已取得烟草专卖零售许可证的零售点，零售许可证到期后将不予办理延续。</w:t>
      </w:r>
    </w:p>
    <w:p>
      <w:pPr>
        <w:ind w:firstLine="640" w:firstLineChars="200"/>
        <w:rPr>
          <w:rFonts w:ascii="仿宋_GB2312" w:eastAsia="仿宋_GB2312"/>
          <w:sz w:val="32"/>
          <w:szCs w:val="32"/>
        </w:rPr>
      </w:pPr>
      <w:r>
        <w:rPr>
          <w:rFonts w:hint="eastAsia" w:ascii="仿宋_GB2312" w:eastAsia="仿宋_GB2312"/>
          <w:sz w:val="32"/>
          <w:szCs w:val="32"/>
        </w:rPr>
        <w:t>（二）经营场所存在安全隐患，且不具备安全措施保障，不适宜经营卷烟的场所。</w:t>
      </w:r>
    </w:p>
    <w:p>
      <w:pPr>
        <w:ind w:firstLine="640" w:firstLineChars="200"/>
        <w:rPr>
          <w:rFonts w:ascii="仿宋_GB2312" w:eastAsia="仿宋_GB2312"/>
          <w:sz w:val="32"/>
          <w:szCs w:val="32"/>
        </w:rPr>
      </w:pPr>
      <w:r>
        <w:rPr>
          <w:rFonts w:hint="eastAsia" w:ascii="仿宋_GB2312" w:eastAsia="仿宋_GB2312"/>
          <w:sz w:val="32"/>
          <w:szCs w:val="32"/>
        </w:rPr>
        <w:t>（三）生产、销售、存储药品（含药水、药剂、农药、兽药等）、化肥、油漆、工业胶水、机油、散装汽油、油墨等容易造成卷烟污染的有毒、有害、放射性物品的场所。</w:t>
      </w:r>
    </w:p>
    <w:p>
      <w:pPr>
        <w:ind w:firstLine="640" w:firstLineChars="200"/>
        <w:rPr>
          <w:rFonts w:ascii="仿宋_GB2312" w:eastAsia="仿宋_GB2312"/>
          <w:sz w:val="32"/>
          <w:szCs w:val="32"/>
        </w:rPr>
      </w:pPr>
      <w:r>
        <w:rPr>
          <w:rFonts w:hint="eastAsia" w:ascii="仿宋_GB2312" w:eastAsia="仿宋_GB2312"/>
          <w:sz w:val="32"/>
          <w:szCs w:val="32"/>
        </w:rPr>
        <w:t>（四）主营项目消费群体是以未成人用品为主的。</w:t>
      </w:r>
    </w:p>
    <w:p>
      <w:pPr>
        <w:ind w:firstLine="640" w:firstLineChars="200"/>
        <w:rPr>
          <w:rFonts w:ascii="仿宋_GB2312" w:eastAsia="仿宋_GB2312"/>
          <w:sz w:val="32"/>
          <w:szCs w:val="32"/>
        </w:rPr>
      </w:pPr>
      <w:r>
        <w:rPr>
          <w:rFonts w:hint="eastAsia" w:ascii="仿宋_GB2312" w:eastAsia="仿宋_GB2312"/>
          <w:sz w:val="32"/>
          <w:szCs w:val="32"/>
        </w:rPr>
        <w:t>（五）其他法律、法规、规章或者政策规定的情形（见附件）</w:t>
      </w:r>
    </w:p>
    <w:p>
      <w:pPr>
        <w:ind w:firstLine="640" w:firstLineChars="200"/>
        <w:rPr>
          <w:rFonts w:ascii="仿宋_GB2312" w:eastAsia="仿宋_GB2312"/>
          <w:sz w:val="32"/>
          <w:szCs w:val="32"/>
        </w:rPr>
      </w:pPr>
      <w:r>
        <w:rPr>
          <w:rFonts w:hint="eastAsia" w:ascii="仿宋_GB2312" w:eastAsia="仿宋_GB2312"/>
          <w:sz w:val="32"/>
          <w:szCs w:val="32"/>
        </w:rPr>
        <w:t>符合上述情形，但属于第九条规定不予设置烟草制品零售点的，不予受理。</w:t>
      </w:r>
    </w:p>
    <w:p>
      <w:pPr>
        <w:ind w:firstLine="640" w:firstLineChars="200"/>
        <w:rPr>
          <w:rFonts w:ascii="仿宋_GB2312" w:eastAsia="仿宋_GB2312"/>
          <w:sz w:val="32"/>
          <w:szCs w:val="32"/>
        </w:rPr>
      </w:pPr>
      <w:r>
        <w:rPr>
          <w:rFonts w:hint="eastAsia" w:ascii="仿宋_GB2312" w:eastAsia="仿宋_GB2312"/>
          <w:sz w:val="32"/>
          <w:szCs w:val="32"/>
        </w:rPr>
        <w:t>第十二条 本次修订的零售点合理布局管理办法除第九条第一款规定中所涉及的中小学及幼儿园周边</w:t>
      </w:r>
      <w:r>
        <w:rPr>
          <w:rFonts w:hint="eastAsia" w:ascii="仿宋_GB2312" w:eastAsia="仿宋_GB2312"/>
          <w:sz w:val="32"/>
          <w:szCs w:val="32"/>
          <w:lang w:val="en-US" w:eastAsia="zh-CN"/>
        </w:rPr>
        <w:t>50</w:t>
      </w:r>
      <w:r>
        <w:rPr>
          <w:rFonts w:hint="eastAsia" w:ascii="仿宋_GB2312" w:eastAsia="仿宋_GB2312"/>
          <w:sz w:val="32"/>
          <w:szCs w:val="32"/>
        </w:rPr>
        <w:t>米的零售点外，不溯及其他已取得烟草专卖零售许可证的零售户。</w:t>
      </w:r>
    </w:p>
    <w:p>
      <w:pPr>
        <w:ind w:firstLine="640" w:firstLineChars="200"/>
        <w:rPr>
          <w:rFonts w:ascii="仿宋_GB2312" w:eastAsia="仿宋_GB2312"/>
          <w:sz w:val="32"/>
          <w:szCs w:val="32"/>
        </w:rPr>
      </w:pPr>
      <w:r>
        <w:rPr>
          <w:rFonts w:hint="eastAsia" w:ascii="仿宋_GB2312" w:eastAsia="仿宋_GB2312"/>
          <w:sz w:val="32"/>
          <w:szCs w:val="32"/>
        </w:rPr>
        <w:t>第十三条 本办法未尽事宜，按照《中华人民共和国烟草专卖法》《中华人民共和国烟草专卖法实施条例》《烟草专卖许可证管理办法》等相关规定执行。</w:t>
      </w:r>
    </w:p>
    <w:p>
      <w:pPr>
        <w:ind w:firstLine="640" w:firstLineChars="200"/>
        <w:rPr>
          <w:rFonts w:ascii="仿宋_GB2312" w:eastAsia="仿宋_GB2312"/>
          <w:sz w:val="32"/>
          <w:szCs w:val="32"/>
        </w:rPr>
      </w:pPr>
      <w:r>
        <w:rPr>
          <w:rFonts w:hint="eastAsia" w:ascii="仿宋_GB2312" w:eastAsia="仿宋_GB2312"/>
          <w:sz w:val="32"/>
          <w:szCs w:val="32"/>
        </w:rPr>
        <w:t>第十四条 本办法由济宁市兖州区烟草专卖局负责解释。</w:t>
      </w:r>
    </w:p>
    <w:p>
      <w:pPr>
        <w:ind w:firstLine="640" w:firstLineChars="200"/>
        <w:rPr>
          <w:rFonts w:ascii="仿宋_GB2312" w:eastAsia="仿宋_GB2312"/>
          <w:sz w:val="32"/>
          <w:szCs w:val="32"/>
        </w:rPr>
      </w:pPr>
      <w:r>
        <w:rPr>
          <w:rFonts w:hint="eastAsia" w:ascii="仿宋_GB2312" w:eastAsia="仿宋_GB2312"/>
          <w:sz w:val="32"/>
          <w:szCs w:val="32"/>
        </w:rPr>
        <w:t>第十五条 本办法自发布之日起执行。2017年9月</w:t>
      </w:r>
      <w:r>
        <w:rPr>
          <w:rFonts w:hint="eastAsia" w:ascii="仿宋_GB2312" w:eastAsia="仿宋_GB2312"/>
          <w:sz w:val="32"/>
          <w:szCs w:val="32"/>
          <w:lang w:val="en-US" w:eastAsia="zh-CN"/>
        </w:rPr>
        <w:t>15</w:t>
      </w:r>
      <w:r>
        <w:rPr>
          <w:rFonts w:hint="eastAsia" w:ascii="仿宋_GB2312" w:eastAsia="仿宋_GB2312"/>
          <w:sz w:val="32"/>
          <w:szCs w:val="32"/>
        </w:rPr>
        <w:t>日印发的《兖州区烟草制品零售点合理布局规定》同时废止。</w:t>
      </w:r>
    </w:p>
    <w:p>
      <w:pPr>
        <w:rPr>
          <w:rFonts w:ascii="宋体" w:hAnsi="宋体" w:cs="宋体"/>
          <w:sz w:val="36"/>
          <w:szCs w:val="36"/>
        </w:rPr>
      </w:pPr>
      <w:r>
        <w:rPr>
          <w:rFonts w:ascii="宋体" w:hAnsi="宋体" w:cs="宋体"/>
          <w:sz w:val="36"/>
          <w:szCs w:val="36"/>
        </w:rPr>
        <w:t xml:space="preserve">   </w:t>
      </w:r>
    </w:p>
    <w:p>
      <w:pPr>
        <w:rPr>
          <w:rFonts w:ascii="宋体" w:hAnsi="宋体" w:cs="宋体"/>
          <w:sz w:val="36"/>
          <w:szCs w:val="36"/>
        </w:rPr>
        <w:sectPr>
          <w:pgSz w:w="11906" w:h="16838"/>
          <w:pgMar w:top="1440" w:right="1800" w:bottom="1440" w:left="1800" w:header="851" w:footer="992" w:gutter="0"/>
          <w:cols w:space="425" w:num="1"/>
          <w:docGrid w:type="lines" w:linePitch="312" w:charSpace="0"/>
        </w:sectPr>
      </w:pPr>
    </w:p>
    <w:p>
      <w:pPr>
        <w:rPr>
          <w:rFonts w:ascii="宋体" w:hAnsi="宋体" w:cs="宋体"/>
          <w:sz w:val="36"/>
          <w:szCs w:val="36"/>
        </w:rPr>
      </w:pPr>
    </w:p>
    <w:p>
      <w:pPr>
        <w:rPr>
          <w:rFonts w:cs="宋体"/>
          <w:sz w:val="36"/>
          <w:szCs w:val="36"/>
        </w:rPr>
      </w:pPr>
      <w:r>
        <w:rPr>
          <w:rFonts w:hint="eastAsia" w:ascii="宋体" w:hAnsi="宋体" w:cs="宋体"/>
          <w:sz w:val="36"/>
          <w:szCs w:val="36"/>
        </w:rPr>
        <w:t>附件：</w:t>
      </w:r>
    </w:p>
    <w:p>
      <w:pPr>
        <w:ind w:firstLine="2240" w:firstLineChars="700"/>
        <w:rPr>
          <w:rFonts w:ascii="仿宋_GB2312" w:eastAsia="仿宋_GB2312"/>
          <w:sz w:val="32"/>
          <w:szCs w:val="32"/>
        </w:rPr>
      </w:pPr>
      <w:r>
        <w:rPr>
          <w:rFonts w:hint="eastAsia" w:ascii="仿宋_GB2312" w:eastAsia="仿宋_GB2312"/>
          <w:sz w:val="32"/>
          <w:szCs w:val="32"/>
        </w:rPr>
        <w:t>不予设置烟草制品零售点有关情形的法律、法规和依据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37"/>
        <w:gridCol w:w="5900"/>
        <w:gridCol w:w="342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序号</w:t>
            </w:r>
          </w:p>
        </w:tc>
        <w:tc>
          <w:tcPr>
            <w:tcW w:w="737" w:type="dxa"/>
            <w:tcBorders>
              <w:top w:val="single" w:color="auto" w:sz="4" w:space="0"/>
              <w:left w:val="single" w:color="auto" w:sz="4" w:space="0"/>
              <w:bottom w:val="single" w:color="auto" w:sz="4" w:space="0"/>
              <w:right w:val="single" w:color="auto" w:sz="4" w:space="0"/>
              <w:tl2br w:val="nil"/>
              <w:tr2bl w:val="nil"/>
            </w:tcBorders>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类别</w:t>
            </w:r>
          </w:p>
        </w:tc>
        <w:tc>
          <w:tcPr>
            <w:tcW w:w="5900" w:type="dxa"/>
            <w:tcBorders>
              <w:top w:val="single" w:color="auto" w:sz="4" w:space="0"/>
              <w:left w:val="single" w:color="auto" w:sz="4" w:space="0"/>
              <w:bottom w:val="single" w:color="auto" w:sz="4" w:space="0"/>
              <w:right w:val="single" w:color="auto" w:sz="4" w:space="0"/>
              <w:tl2br w:val="nil"/>
              <w:tr2bl w:val="nil"/>
            </w:tcBorders>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内容</w:t>
            </w:r>
          </w:p>
        </w:tc>
        <w:tc>
          <w:tcPr>
            <w:tcW w:w="3420" w:type="dxa"/>
            <w:tcBorders>
              <w:top w:val="single" w:color="auto" w:sz="4" w:space="0"/>
              <w:left w:val="single" w:color="auto" w:sz="4" w:space="0"/>
              <w:bottom w:val="single" w:color="auto" w:sz="4" w:space="0"/>
              <w:right w:val="single" w:color="auto" w:sz="4" w:space="0"/>
              <w:tl2br w:val="nil"/>
              <w:tr2bl w:val="nil"/>
            </w:tcBorders>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法律、法规、规章</w:t>
            </w:r>
          </w:p>
        </w:tc>
        <w:tc>
          <w:tcPr>
            <w:tcW w:w="2190" w:type="dxa"/>
            <w:tcBorders>
              <w:top w:val="single" w:color="auto" w:sz="4" w:space="0"/>
              <w:left w:val="single" w:color="auto" w:sz="4" w:space="0"/>
              <w:bottom w:val="single" w:color="auto" w:sz="4" w:space="0"/>
              <w:right w:val="single" w:color="auto" w:sz="4" w:space="0"/>
              <w:tl2br w:val="nil"/>
              <w:tr2bl w:val="nil"/>
            </w:tcBorders>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相关法条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1</w:t>
            </w:r>
          </w:p>
        </w:tc>
        <w:tc>
          <w:tcPr>
            <w:tcW w:w="737"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ind w:left="113" w:right="113"/>
              <w:jc w:val="center"/>
              <w:rPr>
                <w:rFonts w:ascii="仿宋_GB2312" w:eastAsia="仿宋_GB2312"/>
                <w:sz w:val="24"/>
              </w:rPr>
            </w:pPr>
            <w:r>
              <w:rPr>
                <w:rFonts w:hint="eastAsia" w:ascii="仿宋_GB2312" w:eastAsia="仿宋_GB2312"/>
                <w:sz w:val="24"/>
              </w:rPr>
              <w:t>申请主体资格</w:t>
            </w:r>
          </w:p>
        </w:tc>
        <w:tc>
          <w:tcPr>
            <w:tcW w:w="5900" w:type="dxa"/>
            <w:vMerge w:val="restart"/>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eastAsia="仿宋_GB2312"/>
                <w:sz w:val="24"/>
              </w:rPr>
            </w:pPr>
            <w:r>
              <w:rPr>
                <w:rFonts w:hint="eastAsia" w:ascii="仿宋_GB2312" w:eastAsia="仿宋_GB2312"/>
                <w:sz w:val="24"/>
              </w:rPr>
              <w:t>未成年人、无民事行为能力人及限制民事行为能力人。包括：1.未满十八周岁的人；2.不能辨认及不能完全辨认自己行为的成年人；3.智力残疾经依法鉴定为无民事行为能力或限制民事行为能力的人；4.其他经依法鉴定为无民事行为能力及限制民事行为能力的人。</w:t>
            </w: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宋体" w:eastAsia="仿宋_GB2312" w:cs="宋体"/>
                <w:color w:val="333333"/>
                <w:kern w:val="0"/>
                <w:sz w:val="24"/>
              </w:rPr>
            </w:pPr>
            <w:r>
              <w:rPr>
                <w:rFonts w:hint="eastAsia" w:ascii="仿宋_GB2312" w:eastAsia="仿宋_GB2312"/>
                <w:sz w:val="24"/>
              </w:rPr>
              <w:t>《</w:t>
            </w:r>
            <w:r>
              <w:rPr>
                <w:rFonts w:hint="eastAsia" w:ascii="仿宋_GB2312" w:hAnsi="仿宋" w:eastAsia="仿宋_GB2312"/>
                <w:sz w:val="24"/>
              </w:rPr>
              <w:t>中华人民共和国</w:t>
            </w:r>
            <w:r>
              <w:rPr>
                <w:rFonts w:hint="eastAsia" w:ascii="仿宋_GB2312" w:eastAsia="仿宋_GB2312"/>
                <w:sz w:val="24"/>
              </w:rPr>
              <w:t>民法典》</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eastAsia="仿宋_GB2312"/>
                <w:sz w:val="24"/>
              </w:rPr>
              <w:t>第十八至二十二条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p>
        </w:tc>
        <w:tc>
          <w:tcPr>
            <w:tcW w:w="737"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hAnsi="仿宋" w:eastAsia="仿宋_GB2312"/>
                <w:sz w:val="24"/>
              </w:rPr>
            </w:pPr>
          </w:p>
        </w:tc>
        <w:tc>
          <w:tcPr>
            <w:tcW w:w="5900"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hAnsi="仿宋" w:eastAsia="仿宋_GB2312"/>
                <w:sz w:val="24"/>
              </w:rPr>
            </w:pP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宋体" w:eastAsia="仿宋_GB2312" w:cs="宋体"/>
                <w:color w:val="333333"/>
                <w:kern w:val="0"/>
                <w:sz w:val="24"/>
              </w:rPr>
            </w:pPr>
            <w:r>
              <w:rPr>
                <w:rFonts w:hint="eastAsia" w:ascii="仿宋_GB2312" w:hAnsi="仿宋" w:eastAsia="仿宋_GB2312"/>
                <w:sz w:val="24"/>
              </w:rPr>
              <w:t>《中华人民共和国未成年人保护法》</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hAnsi="仿宋" w:eastAsia="仿宋_GB2312"/>
                <w:sz w:val="24"/>
              </w:rPr>
              <w:t>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2</w:t>
            </w:r>
          </w:p>
        </w:tc>
        <w:tc>
          <w:tcPr>
            <w:tcW w:w="737"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hAnsi="仿宋" w:eastAsia="仿宋_GB2312"/>
                <w:sz w:val="24"/>
              </w:rPr>
            </w:pPr>
          </w:p>
        </w:tc>
        <w:tc>
          <w:tcPr>
            <w:tcW w:w="5900" w:type="dxa"/>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hAnsi="仿宋" w:eastAsia="仿宋_GB2312"/>
                <w:sz w:val="24"/>
              </w:rPr>
            </w:pPr>
            <w:r>
              <w:rPr>
                <w:rFonts w:hint="eastAsia" w:ascii="仿宋_GB2312" w:eastAsia="仿宋_GB2312"/>
                <w:sz w:val="24"/>
              </w:rPr>
              <w:t>外商投资的商业企业或者个体工商户</w:t>
            </w: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宋体" w:eastAsia="仿宋_GB2312" w:cs="宋体"/>
                <w:color w:val="333333"/>
                <w:kern w:val="0"/>
                <w:sz w:val="24"/>
              </w:rPr>
            </w:pPr>
            <w:r>
              <w:rPr>
                <w:rFonts w:hint="eastAsia" w:ascii="仿宋_GB2312" w:eastAsia="仿宋_GB2312"/>
                <w:sz w:val="24"/>
              </w:rPr>
              <w:t>《烟草专卖许可证管理办法》（工业和信息化部令第37号）</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hAnsi="仿宋" w:eastAsia="仿宋_GB2312"/>
                <w:sz w:val="24"/>
              </w:rPr>
              <w:t>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3</w:t>
            </w:r>
          </w:p>
        </w:tc>
        <w:tc>
          <w:tcPr>
            <w:tcW w:w="737"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hAnsi="仿宋" w:eastAsia="仿宋_GB2312"/>
                <w:sz w:val="24"/>
              </w:rPr>
            </w:pPr>
          </w:p>
        </w:tc>
        <w:tc>
          <w:tcPr>
            <w:tcW w:w="5900" w:type="dxa"/>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eastAsia="仿宋_GB2312"/>
                <w:sz w:val="24"/>
              </w:rPr>
            </w:pPr>
            <w:r>
              <w:rPr>
                <w:rFonts w:hint="eastAsia" w:ascii="仿宋_GB2312" w:eastAsia="仿宋_GB2312"/>
                <w:sz w:val="24"/>
              </w:rPr>
              <w:t>取消从事烟草专卖业务资格不满三年的。</w:t>
            </w:r>
          </w:p>
          <w:p>
            <w:pPr>
              <w:jc w:val="left"/>
              <w:rPr>
                <w:rFonts w:ascii="仿宋_GB2312" w:eastAsia="仿宋_GB2312"/>
                <w:sz w:val="24"/>
              </w:rPr>
            </w:pP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宋体" w:eastAsia="仿宋_GB2312" w:cs="宋体"/>
                <w:color w:val="333333"/>
                <w:kern w:val="0"/>
                <w:sz w:val="24"/>
              </w:rPr>
            </w:pPr>
            <w:r>
              <w:rPr>
                <w:rFonts w:hint="eastAsia" w:ascii="仿宋_GB2312" w:eastAsia="仿宋_GB2312"/>
                <w:sz w:val="24"/>
              </w:rPr>
              <w:t>《烟草专卖许可证管理办法》（工业和信息化部令</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hAnsi="仿宋" w:eastAsia="仿宋_GB2312"/>
                <w:sz w:val="24"/>
              </w:rPr>
              <w:t>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4</w:t>
            </w:r>
          </w:p>
        </w:tc>
        <w:tc>
          <w:tcPr>
            <w:tcW w:w="737" w:type="dxa"/>
            <w:tcBorders>
              <w:top w:val="single" w:color="auto" w:sz="4" w:space="0"/>
              <w:left w:val="single" w:color="auto" w:sz="4" w:space="0"/>
              <w:bottom w:val="single" w:color="auto" w:sz="4" w:space="0"/>
              <w:right w:val="single" w:color="auto" w:sz="4" w:space="0"/>
              <w:tl2br w:val="nil"/>
              <w:tr2bl w:val="nil"/>
            </w:tcBorders>
            <w:vAlign w:val="center"/>
          </w:tcPr>
          <w:p>
            <w:pPr>
              <w:ind w:left="113" w:right="113"/>
              <w:jc w:val="center"/>
              <w:rPr>
                <w:rFonts w:ascii="仿宋_GB2312" w:eastAsia="仿宋_GB2312"/>
                <w:sz w:val="24"/>
              </w:rPr>
            </w:pPr>
            <w:r>
              <w:rPr>
                <w:rFonts w:hint="eastAsia" w:ascii="仿宋_GB2312" w:eastAsia="仿宋_GB2312"/>
                <w:sz w:val="24"/>
              </w:rPr>
              <w:t>申请行为</w:t>
            </w:r>
          </w:p>
        </w:tc>
        <w:tc>
          <w:tcPr>
            <w:tcW w:w="5900" w:type="dxa"/>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eastAsia="仿宋_GB2312"/>
                <w:sz w:val="24"/>
              </w:rPr>
            </w:pPr>
            <w:r>
              <w:rPr>
                <w:rFonts w:hint="eastAsia" w:ascii="仿宋_GB2312" w:eastAsia="仿宋_GB2312"/>
                <w:sz w:val="24"/>
              </w:rPr>
              <w:t>因申请人隐瞒有关情况或者提供虚假材料，烟草专卖行政主管部门作出不予受理或者不予发证决定后，申请人一年内再次提出申请的。</w:t>
            </w:r>
          </w:p>
          <w:p>
            <w:pPr>
              <w:jc w:val="left"/>
              <w:rPr>
                <w:rFonts w:ascii="仿宋_GB2312" w:eastAsia="仿宋_GB2312"/>
                <w:sz w:val="24"/>
              </w:rPr>
            </w:pPr>
            <w:r>
              <w:rPr>
                <w:rFonts w:hint="eastAsia" w:ascii="仿宋_GB2312" w:eastAsia="仿宋_GB2312"/>
                <w:sz w:val="24"/>
              </w:rPr>
              <w:t>因申请人以欺骗、贿赂等不正当手段取得的烟草专卖许可证被撤销后，申请人三年内再次提出申请的。</w:t>
            </w:r>
          </w:p>
          <w:p>
            <w:pPr>
              <w:jc w:val="left"/>
              <w:rPr>
                <w:rFonts w:ascii="仿宋_GB2312" w:eastAsia="仿宋_GB2312"/>
                <w:sz w:val="24"/>
              </w:rPr>
            </w:pPr>
            <w:r>
              <w:rPr>
                <w:rFonts w:hint="eastAsia" w:ascii="仿宋_GB2312" w:eastAsia="仿宋_GB2312"/>
                <w:sz w:val="24"/>
              </w:rPr>
              <w:t>未领取烟草专卖零售许可证经营烟草专卖品业务，并且一年内被执法机关处罚两次以上，在三年内申请领取烟草专卖零售许可证的。</w:t>
            </w:r>
          </w:p>
          <w:p>
            <w:pPr>
              <w:rPr>
                <w:rFonts w:ascii="仿宋_GB2312" w:eastAsia="仿宋_GB2312"/>
                <w:sz w:val="24"/>
              </w:rPr>
            </w:pP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宋体" w:eastAsia="仿宋_GB2312" w:cs="宋体"/>
                <w:color w:val="333333"/>
                <w:kern w:val="0"/>
                <w:sz w:val="24"/>
              </w:rPr>
            </w:pPr>
            <w:r>
              <w:rPr>
                <w:rFonts w:hint="eastAsia" w:ascii="仿宋_GB2312" w:eastAsia="仿宋_GB2312"/>
                <w:sz w:val="24"/>
              </w:rPr>
              <w:t>《烟草专卖许可证管理办法》（工业和信息化部令</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hAnsi="仿宋" w:eastAsia="仿宋_GB2312"/>
                <w:sz w:val="24"/>
              </w:rPr>
              <w:t>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5</w:t>
            </w:r>
          </w:p>
        </w:tc>
        <w:tc>
          <w:tcPr>
            <w:tcW w:w="737"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ind w:left="113" w:right="113"/>
              <w:rPr>
                <w:rFonts w:ascii="仿宋_GB2312" w:eastAsia="仿宋_GB2312"/>
                <w:sz w:val="24"/>
              </w:rPr>
            </w:pPr>
            <w:r>
              <w:rPr>
                <w:rFonts w:hint="eastAsia" w:ascii="仿宋_GB2312" w:eastAsia="仿宋_GB2312"/>
                <w:sz w:val="24"/>
              </w:rPr>
              <w:t>经营场所</w:t>
            </w:r>
          </w:p>
        </w:tc>
        <w:tc>
          <w:tcPr>
            <w:tcW w:w="5900" w:type="dxa"/>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eastAsia="仿宋_GB2312"/>
                <w:sz w:val="24"/>
              </w:rPr>
            </w:pPr>
            <w:r>
              <w:rPr>
                <w:rFonts w:hint="eastAsia" w:ascii="仿宋_GB2312" w:eastAsia="仿宋_GB2312"/>
                <w:sz w:val="24"/>
              </w:rPr>
              <w:t>无固定经营场所的；</w:t>
            </w:r>
          </w:p>
          <w:p>
            <w:pPr>
              <w:jc w:val="left"/>
              <w:rPr>
                <w:rFonts w:ascii="仿宋_GB2312" w:eastAsia="仿宋_GB2312"/>
                <w:sz w:val="24"/>
              </w:rPr>
            </w:pPr>
            <w:r>
              <w:rPr>
                <w:rFonts w:hint="eastAsia" w:ascii="仿宋_GB2312" w:eastAsia="仿宋_GB2312"/>
                <w:sz w:val="24"/>
              </w:rPr>
              <w:t>经营场所与住所不相独立的；</w:t>
            </w:r>
          </w:p>
          <w:p>
            <w:pPr>
              <w:jc w:val="left"/>
              <w:rPr>
                <w:rFonts w:ascii="仿宋_GB2312" w:eastAsia="仿宋_GB2312"/>
                <w:sz w:val="24"/>
              </w:rPr>
            </w:pPr>
          </w:p>
        </w:tc>
        <w:tc>
          <w:tcPr>
            <w:tcW w:w="342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eastAsia="仿宋_GB2312"/>
                <w:sz w:val="24"/>
              </w:rPr>
              <w:t>《烟草专卖许可证管理办法》（工业和信息化部令第37号）</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eastAsia="仿宋_GB2312"/>
                <w:sz w:val="24"/>
              </w:rPr>
              <w:t>第十三条、第二十五条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6</w:t>
            </w:r>
          </w:p>
        </w:tc>
        <w:tc>
          <w:tcPr>
            <w:tcW w:w="737" w:type="dxa"/>
            <w:tcBorders>
              <w:top w:val="single" w:color="auto" w:sz="4" w:space="0"/>
              <w:left w:val="single" w:color="auto" w:sz="4" w:space="0"/>
              <w:bottom w:val="single" w:color="auto" w:sz="4" w:space="0"/>
              <w:right w:val="single" w:color="auto" w:sz="4" w:space="0"/>
              <w:tl2br w:val="nil"/>
              <w:tr2bl w:val="nil"/>
            </w:tcBorders>
          </w:tcPr>
          <w:p>
            <w:pPr>
              <w:ind w:left="113" w:right="113"/>
              <w:jc w:val="center"/>
              <w:rPr>
                <w:rFonts w:ascii="仿宋_GB2312" w:eastAsia="仿宋_GB2312"/>
                <w:sz w:val="24"/>
              </w:rPr>
            </w:pPr>
            <w:r>
              <w:rPr>
                <w:rFonts w:hint="eastAsia" w:ascii="仿宋_GB2312" w:eastAsia="仿宋_GB2312"/>
                <w:sz w:val="24"/>
              </w:rPr>
              <w:t>经营模式</w:t>
            </w:r>
          </w:p>
        </w:tc>
        <w:tc>
          <w:tcPr>
            <w:tcW w:w="5900" w:type="dxa"/>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eastAsia="仿宋_GB2312"/>
                <w:sz w:val="24"/>
              </w:rPr>
            </w:pPr>
            <w:r>
              <w:rPr>
                <w:rFonts w:hint="eastAsia" w:ascii="仿宋_GB2312" w:eastAsia="仿宋_GB2312"/>
                <w:sz w:val="24"/>
              </w:rPr>
              <w:t>利用自动售货机（柜）或者其他自动售货形式，销售或者变相销售烟草制品的；</w:t>
            </w:r>
          </w:p>
          <w:p>
            <w:pPr>
              <w:rPr>
                <w:rFonts w:ascii="仿宋_GB2312" w:eastAsia="仿宋_GB2312"/>
                <w:sz w:val="24"/>
              </w:rPr>
            </w:pPr>
            <w:r>
              <w:rPr>
                <w:rFonts w:hint="eastAsia" w:ascii="仿宋_GB2312" w:eastAsia="仿宋_GB2312"/>
                <w:sz w:val="24"/>
              </w:rPr>
              <w:t>通过信息网络渠道销售烟草制品的。</w:t>
            </w:r>
          </w:p>
        </w:tc>
        <w:tc>
          <w:tcPr>
            <w:tcW w:w="342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eastAsia="仿宋_GB2312"/>
                <w:sz w:val="24"/>
              </w:rPr>
              <w:t>《烟草专卖许可证管理办法》（工业和信息化部令第37号）</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r>
              <w:rPr>
                <w:rFonts w:hint="eastAsia" w:ascii="仿宋_GB2312" w:hAnsi="仿宋" w:eastAsia="仿宋_GB2312"/>
                <w:sz w:val="24"/>
              </w:rPr>
              <w:t>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7</w:t>
            </w:r>
          </w:p>
        </w:tc>
        <w:tc>
          <w:tcPr>
            <w:tcW w:w="7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ind w:left="113" w:right="113"/>
              <w:jc w:val="center"/>
              <w:rPr>
                <w:rFonts w:ascii="仿宋_GB2312" w:eastAsia="仿宋_GB2312"/>
                <w:sz w:val="24"/>
              </w:rPr>
            </w:pPr>
            <w:r>
              <w:rPr>
                <w:rFonts w:hint="eastAsia" w:ascii="仿宋_GB2312" w:eastAsia="仿宋_GB2312"/>
                <w:sz w:val="24"/>
              </w:rPr>
              <w:t>特殊区域</w:t>
            </w:r>
          </w:p>
        </w:tc>
        <w:tc>
          <w:tcPr>
            <w:tcW w:w="590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r>
              <w:rPr>
                <w:rFonts w:hint="eastAsia" w:ascii="仿宋_GB2312" w:eastAsia="仿宋_GB2312"/>
                <w:sz w:val="24"/>
              </w:rPr>
              <w:t>政府明令禁止经营卷烟类商品的区域</w:t>
            </w:r>
          </w:p>
        </w:tc>
        <w:tc>
          <w:tcPr>
            <w:tcW w:w="342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r>
              <w:rPr>
                <w:rFonts w:hint="eastAsia" w:ascii="仿宋_GB2312" w:hAnsi="仿宋" w:eastAsia="仿宋_GB2312"/>
                <w:sz w:val="24"/>
              </w:rPr>
              <w:t>《关于领导干部带头在公共场所禁烟有关事项的通知》</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r>
              <w:rPr>
                <w:rFonts w:hint="eastAsia" w:ascii="仿宋_GB2312" w:hAnsi="仿宋" w:eastAsia="仿宋_GB2312"/>
                <w:sz w:val="24"/>
              </w:rPr>
              <w:t>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8</w:t>
            </w:r>
          </w:p>
        </w:tc>
        <w:tc>
          <w:tcPr>
            <w:tcW w:w="737" w:type="dxa"/>
            <w:vMerge w:val="continue"/>
            <w:tcBorders>
              <w:top w:val="single" w:color="auto" w:sz="4" w:space="0"/>
              <w:left w:val="single" w:color="auto" w:sz="4" w:space="0"/>
              <w:bottom w:val="single" w:color="auto" w:sz="4" w:space="0"/>
              <w:right w:val="single" w:color="auto" w:sz="4" w:space="0"/>
              <w:tl2br w:val="nil"/>
              <w:tr2bl w:val="nil"/>
            </w:tcBorders>
          </w:tcPr>
          <w:p>
            <w:pPr>
              <w:ind w:left="113" w:right="113"/>
              <w:jc w:val="center"/>
              <w:rPr>
                <w:rFonts w:ascii="仿宋_GB2312" w:eastAsia="仿宋_GB2312"/>
                <w:sz w:val="24"/>
              </w:rPr>
            </w:pPr>
          </w:p>
        </w:tc>
        <w:tc>
          <w:tcPr>
            <w:tcW w:w="5900" w:type="dxa"/>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eastAsia="仿宋_GB2312"/>
                <w:sz w:val="24"/>
              </w:rPr>
            </w:pPr>
            <w:r>
              <w:rPr>
                <w:rFonts w:hint="eastAsia" w:ascii="仿宋_GB2312" w:eastAsia="仿宋_GB2312"/>
                <w:sz w:val="24"/>
              </w:rPr>
              <w:t>经营场所已列入政府拆迁规划的区域</w:t>
            </w: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宋体" w:eastAsia="仿宋_GB2312" w:cs="宋体"/>
                <w:color w:val="333333"/>
                <w:kern w:val="0"/>
                <w:sz w:val="24"/>
              </w:rPr>
            </w:pPr>
            <w:r>
              <w:rPr>
                <w:rFonts w:hint="eastAsia" w:ascii="仿宋_GB2312" w:eastAsia="仿宋_GB2312"/>
                <w:sz w:val="24"/>
              </w:rPr>
              <w:t>府拆迁规划文件及相关规定文件《企业法人登记管理条例》</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宋体" w:eastAsia="仿宋_GB2312" w:cs="宋体"/>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9</w:t>
            </w:r>
          </w:p>
        </w:tc>
        <w:tc>
          <w:tcPr>
            <w:tcW w:w="7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left="113" w:right="113"/>
              <w:jc w:val="center"/>
              <w:rPr>
                <w:rFonts w:ascii="仿宋_GB2312" w:hAnsi="仿宋" w:eastAsia="仿宋_GB2312"/>
                <w:sz w:val="24"/>
              </w:rPr>
            </w:pPr>
          </w:p>
        </w:tc>
        <w:tc>
          <w:tcPr>
            <w:tcW w:w="590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r>
              <w:rPr>
                <w:rFonts w:hint="eastAsia" w:ascii="仿宋_GB2312" w:eastAsia="仿宋_GB2312"/>
                <w:sz w:val="24"/>
              </w:rPr>
              <w:t>被列入各级人民政府及司法部门社会公共信用信息平台《违法失信黑名单》的</w:t>
            </w:r>
          </w:p>
        </w:tc>
        <w:tc>
          <w:tcPr>
            <w:tcW w:w="3420" w:type="dxa"/>
            <w:tcBorders>
              <w:top w:val="single" w:color="auto" w:sz="4" w:space="0"/>
              <w:left w:val="single" w:color="auto" w:sz="4" w:space="0"/>
              <w:bottom w:val="single" w:color="auto" w:sz="4" w:space="0"/>
              <w:right w:val="single" w:color="auto" w:sz="4" w:space="0"/>
              <w:tl2br w:val="nil"/>
              <w:tr2bl w:val="nil"/>
            </w:tcBorders>
          </w:tcPr>
          <w:p>
            <w:pPr>
              <w:rPr>
                <w:rFonts w:ascii="仿宋_GB2312" w:eastAsia="仿宋_GB2312"/>
                <w:sz w:val="24"/>
              </w:rPr>
            </w:pPr>
            <w:r>
              <w:rPr>
                <w:rFonts w:hint="eastAsia" w:ascii="仿宋_GB2312" w:hAnsi="仿宋" w:eastAsia="仿宋_GB2312"/>
                <w:sz w:val="24"/>
              </w:rPr>
              <w:t>《国家烟草专卖局关于建立完善守信联合激励和失信联合惩戒制度 加快推进烟草行业诚信建设的意见》（国烟法〔2016〕297号）</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10</w:t>
            </w:r>
          </w:p>
        </w:tc>
        <w:tc>
          <w:tcPr>
            <w:tcW w:w="737" w:type="dxa"/>
            <w:vMerge w:val="continue"/>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p>
        </w:tc>
        <w:tc>
          <w:tcPr>
            <w:tcW w:w="590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r>
              <w:rPr>
                <w:rFonts w:hint="eastAsia" w:ascii="仿宋_GB2312" w:eastAsia="仿宋_GB2312"/>
                <w:sz w:val="24"/>
              </w:rPr>
              <w:t>医疗卫生机构所属区域</w:t>
            </w:r>
          </w:p>
        </w:tc>
        <w:tc>
          <w:tcPr>
            <w:tcW w:w="3420" w:type="dxa"/>
            <w:tcBorders>
              <w:top w:val="single" w:color="auto" w:sz="4" w:space="0"/>
              <w:left w:val="single" w:color="auto" w:sz="4" w:space="0"/>
              <w:bottom w:val="single" w:color="auto" w:sz="4" w:space="0"/>
              <w:right w:val="single" w:color="auto" w:sz="4" w:space="0"/>
              <w:tl2br w:val="nil"/>
              <w:tr2bl w:val="nil"/>
            </w:tcBorders>
          </w:tcPr>
          <w:p>
            <w:pPr>
              <w:rPr>
                <w:rFonts w:ascii="仿宋_GB2312" w:eastAsia="仿宋_GB2312"/>
                <w:sz w:val="24"/>
              </w:rPr>
            </w:pPr>
            <w:r>
              <w:rPr>
                <w:rFonts w:hint="eastAsia" w:ascii="仿宋_GB2312" w:hAnsi="仿宋" w:eastAsia="仿宋_GB2312"/>
                <w:sz w:val="24"/>
              </w:rPr>
              <w:t>《关于印发〈无烟医疗卫生·机构标准〉（试行）的通知》（卫妇社发〔2008〕15号）</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eastAsia="仿宋_GB2312"/>
                <w:sz w:val="24"/>
              </w:rPr>
            </w:pPr>
            <w:r>
              <w:rPr>
                <w:rFonts w:hint="eastAsia" w:ascii="仿宋_GB2312" w:hAnsi="仿宋" w:eastAsia="仿宋_GB2312"/>
                <w:sz w:val="24"/>
              </w:rPr>
              <w:t>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8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11</w:t>
            </w:r>
          </w:p>
        </w:tc>
        <w:tc>
          <w:tcPr>
            <w:tcW w:w="737" w:type="dxa"/>
            <w:vMerge w:val="continue"/>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p>
        </w:tc>
        <w:tc>
          <w:tcPr>
            <w:tcW w:w="590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r>
              <w:rPr>
                <w:rFonts w:hint="eastAsia" w:ascii="仿宋_GB2312" w:hAnsi="仿宋" w:eastAsia="仿宋_GB2312"/>
                <w:sz w:val="24"/>
              </w:rPr>
              <w:t>其他不予发放烟草专卖零售许可证的情形</w:t>
            </w:r>
          </w:p>
        </w:tc>
        <w:tc>
          <w:tcPr>
            <w:tcW w:w="342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r>
              <w:rPr>
                <w:rFonts w:hint="eastAsia" w:ascii="仿宋_GB2312" w:hAnsi="仿宋" w:eastAsia="仿宋_GB2312"/>
                <w:sz w:val="24"/>
              </w:rPr>
              <w:t>其他法律、法规、规章及国家烟草专卖局规定的其他不予发证的情形</w:t>
            </w:r>
          </w:p>
        </w:tc>
        <w:tc>
          <w:tcPr>
            <w:tcW w:w="2190"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 w:eastAsia="仿宋_GB2312"/>
                <w:sz w:val="24"/>
              </w:rPr>
            </w:pPr>
          </w:p>
        </w:tc>
      </w:tr>
      <w:bookmarkEnd w:id="0"/>
    </w:tbl>
    <w:p>
      <w:pPr>
        <w:spacing w:line="360" w:lineRule="auto"/>
        <w:rPr>
          <w:rFonts w:ascii="仿宋_GB2312" w:eastAsia="仿宋_GB2312"/>
          <w:sz w:val="32"/>
        </w:rPr>
      </w:pPr>
    </w:p>
    <w:p/>
    <w:sectPr>
      <w:pgSz w:w="16838" w:h="11906" w:orient="landscape"/>
      <w:pgMar w:top="1083" w:right="1440" w:bottom="1083" w:left="144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54F1D7-1628-4309-B52B-6CC27D6051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AD0EE2-DBAA-4734-808F-BBD564845775}"/>
  </w:font>
  <w:font w:name="Calibri Light">
    <w:panose1 w:val="020F03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00000001" w:usb1="08000000" w:usb2="00000000" w:usb3="00000000" w:csb0="00040000" w:csb1="00000000"/>
    <w:embedRegular r:id="rId3" w:fontKey="{EDFACC8A-87C4-4C59-8E02-20207E1E3F1F}"/>
  </w:font>
  <w:font w:name="仿宋_GB2312">
    <w:panose1 w:val="02010609030101010101"/>
    <w:charset w:val="86"/>
    <w:family w:val="modern"/>
    <w:pitch w:val="default"/>
    <w:sig w:usb0="00000001" w:usb1="080E0000" w:usb2="00000000" w:usb3="00000000" w:csb0="00040000" w:csb1="00000000"/>
    <w:embedRegular r:id="rId4" w:fontKey="{3C0C9A51-BD84-44CD-AD07-FB43E5E8F83F}"/>
  </w:font>
  <w:font w:name="仿宋">
    <w:panose1 w:val="02010609060101010101"/>
    <w:charset w:val="86"/>
    <w:family w:val="modern"/>
    <w:pitch w:val="default"/>
    <w:sig w:usb0="800002BF" w:usb1="38CF7CFA" w:usb2="00000016" w:usb3="00000000" w:csb0="00040001" w:csb1="00000000"/>
    <w:embedRegular r:id="rId5" w:fontKey="{5E25E68E-80F0-4F20-8FD7-7D0B9E1B03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4EF"/>
    <w:rsid w:val="0002617B"/>
    <w:rsid w:val="00033BEF"/>
    <w:rsid w:val="00087BF0"/>
    <w:rsid w:val="000A0806"/>
    <w:rsid w:val="00120083"/>
    <w:rsid w:val="0014070F"/>
    <w:rsid w:val="00172A27"/>
    <w:rsid w:val="001F6CB6"/>
    <w:rsid w:val="002345D6"/>
    <w:rsid w:val="00246244"/>
    <w:rsid w:val="0025526E"/>
    <w:rsid w:val="002D0EF0"/>
    <w:rsid w:val="002D6E08"/>
    <w:rsid w:val="002E5D14"/>
    <w:rsid w:val="00347E4B"/>
    <w:rsid w:val="003D034E"/>
    <w:rsid w:val="004A0000"/>
    <w:rsid w:val="004A54D8"/>
    <w:rsid w:val="004D7BD6"/>
    <w:rsid w:val="004E09AE"/>
    <w:rsid w:val="004E2936"/>
    <w:rsid w:val="004F5B85"/>
    <w:rsid w:val="004F7284"/>
    <w:rsid w:val="00510A0D"/>
    <w:rsid w:val="005C3397"/>
    <w:rsid w:val="006001E0"/>
    <w:rsid w:val="0062234A"/>
    <w:rsid w:val="00650BAF"/>
    <w:rsid w:val="00684B8A"/>
    <w:rsid w:val="006C0A97"/>
    <w:rsid w:val="007A14C7"/>
    <w:rsid w:val="007C3134"/>
    <w:rsid w:val="007E0516"/>
    <w:rsid w:val="007E5738"/>
    <w:rsid w:val="0084420A"/>
    <w:rsid w:val="009533D4"/>
    <w:rsid w:val="009D5561"/>
    <w:rsid w:val="009D5F5F"/>
    <w:rsid w:val="00A46490"/>
    <w:rsid w:val="00A55FC9"/>
    <w:rsid w:val="00A66861"/>
    <w:rsid w:val="00A7533A"/>
    <w:rsid w:val="00A97886"/>
    <w:rsid w:val="00AC43CB"/>
    <w:rsid w:val="00AC61E1"/>
    <w:rsid w:val="00AE3057"/>
    <w:rsid w:val="00AE4830"/>
    <w:rsid w:val="00B003F2"/>
    <w:rsid w:val="00B072B2"/>
    <w:rsid w:val="00B141BD"/>
    <w:rsid w:val="00B2583C"/>
    <w:rsid w:val="00BA37E3"/>
    <w:rsid w:val="00BB4CBD"/>
    <w:rsid w:val="00C47153"/>
    <w:rsid w:val="00C75842"/>
    <w:rsid w:val="00CD41FB"/>
    <w:rsid w:val="00D01BB0"/>
    <w:rsid w:val="00D208C4"/>
    <w:rsid w:val="00D570F9"/>
    <w:rsid w:val="00DF1778"/>
    <w:rsid w:val="00DF7CDE"/>
    <w:rsid w:val="00E2272D"/>
    <w:rsid w:val="00E52148"/>
    <w:rsid w:val="00E80D9A"/>
    <w:rsid w:val="00E82C9F"/>
    <w:rsid w:val="00EE61FD"/>
    <w:rsid w:val="00EF6CEE"/>
    <w:rsid w:val="00FA093A"/>
    <w:rsid w:val="06DC44DA"/>
    <w:rsid w:val="0B87624C"/>
    <w:rsid w:val="103C0192"/>
    <w:rsid w:val="14E96888"/>
    <w:rsid w:val="151234BF"/>
    <w:rsid w:val="1F4B5F00"/>
    <w:rsid w:val="26395C0C"/>
    <w:rsid w:val="2B4C43B4"/>
    <w:rsid w:val="2C276AB9"/>
    <w:rsid w:val="32F27508"/>
    <w:rsid w:val="355B5E2F"/>
    <w:rsid w:val="3EFE63A2"/>
    <w:rsid w:val="41462A07"/>
    <w:rsid w:val="44E02F6B"/>
    <w:rsid w:val="467308A5"/>
    <w:rsid w:val="4ED9474A"/>
    <w:rsid w:val="50EB393B"/>
    <w:rsid w:val="55265EBA"/>
    <w:rsid w:val="560310E4"/>
    <w:rsid w:val="5EA64F88"/>
    <w:rsid w:val="624125F5"/>
    <w:rsid w:val="64C176B1"/>
    <w:rsid w:val="795B0221"/>
    <w:rsid w:val="7F0C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rFonts w:hint="eastAsia"/>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rFonts w:hint="eastAsia"/>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character" w:styleId="9">
    <w:name w:val="page number"/>
    <w:unhideWhenUsed/>
    <w:qFormat/>
    <w:uiPriority w:val="0"/>
    <w:rPr>
      <w:rFonts w:hint="default"/>
      <w:sz w:val="24"/>
      <w:szCs w:val="24"/>
    </w:rPr>
  </w:style>
  <w:style w:type="paragraph" w:customStyle="1" w:styleId="10">
    <w:name w:val="正文文本1"/>
    <w:basedOn w:val="1"/>
    <w:qFormat/>
    <w:uiPriority w:val="0"/>
    <w:pPr>
      <w:shd w:val="clear" w:color="auto" w:fill="FFFFFF"/>
      <w:spacing w:line="418" w:lineRule="auto"/>
      <w:ind w:firstLine="400"/>
    </w:pPr>
    <w:rPr>
      <w:rFonts w:ascii="MingLiU" w:hAnsi="MingLiU" w:eastAsia="MingLiU"/>
      <w:sz w:val="60"/>
      <w:szCs w:val="60"/>
      <w:shd w:val="clear" w:color="auto" w:fill="FFFFFF"/>
      <w:lang w:val="zh-CN"/>
    </w:rPr>
  </w:style>
  <w:style w:type="character" w:customStyle="1" w:styleId="11">
    <w:name w:val="页脚 字符"/>
    <w:link w:val="3"/>
    <w:unhideWhenUsed/>
    <w:qFormat/>
    <w:uiPriority w:val="0"/>
    <w:rPr>
      <w:rFonts w:hint="default"/>
      <w:kern w:val="2"/>
      <w:sz w:val="18"/>
      <w:szCs w:val="24"/>
    </w:rPr>
  </w:style>
  <w:style w:type="character" w:customStyle="1" w:styleId="12">
    <w:name w:val="页眉 字符"/>
    <w:link w:val="4"/>
    <w:unhideWhenUsed/>
    <w:qFormat/>
    <w:uiPriority w:val="0"/>
    <w:rPr>
      <w:rFonts w:hint="default"/>
      <w:kern w:val="2"/>
      <w:sz w:val="18"/>
      <w:szCs w:val="24"/>
    </w:rPr>
  </w:style>
  <w:style w:type="character" w:customStyle="1" w:styleId="13">
    <w:name w:val="页眉 Char1"/>
    <w:basedOn w:val="8"/>
    <w:unhideWhenUsed/>
    <w:qFormat/>
    <w:uiPriority w:val="99"/>
    <w:rPr>
      <w:rFonts w:hint="default" w:cs="Times New Roman"/>
      <w:kern w:val="2"/>
      <w:sz w:val="18"/>
      <w:szCs w:val="18"/>
    </w:rPr>
  </w:style>
  <w:style w:type="character" w:customStyle="1" w:styleId="14">
    <w:name w:val="页脚 Char1"/>
    <w:basedOn w:val="8"/>
    <w:unhideWhenUsed/>
    <w:qFormat/>
    <w:uiPriority w:val="99"/>
    <w:rPr>
      <w:rFonts w:hint="default" w:cs="Times New Roman"/>
      <w:kern w:val="2"/>
      <w:sz w:val="18"/>
      <w:szCs w:val="18"/>
    </w:rPr>
  </w:style>
  <w:style w:type="paragraph" w:customStyle="1" w:styleId="15">
    <w:name w:val="正文文本 (2)"/>
    <w:basedOn w:val="1"/>
    <w:qFormat/>
    <w:uiPriority w:val="0"/>
    <w:pPr>
      <w:shd w:val="clear" w:color="auto" w:fill="FFFFFF"/>
      <w:spacing w:after="480"/>
      <w:jc w:val="center"/>
    </w:pPr>
    <w:rPr>
      <w:rFonts w:ascii="MingLiU" w:hAnsi="MingLiU" w:eastAsia="MingLiU"/>
      <w:sz w:val="84"/>
      <w:szCs w:val="84"/>
      <w:shd w:val="clear" w:color="auto" w:fill="FFFFFF"/>
      <w:lang w:val="zh-CN"/>
    </w:rPr>
  </w:style>
  <w:style w:type="character" w:customStyle="1" w:styleId="16">
    <w:name w:val="标题 字符"/>
    <w:basedOn w:val="8"/>
    <w:link w:val="6"/>
    <w:qFormat/>
    <w:uiPriority w:val="0"/>
    <w:rPr>
      <w:rFonts w:asciiTheme="majorHAnsi" w:hAnsiTheme="majorHAnsi" w:eastAsiaTheme="majorEastAsia" w:cstheme="majorBidi"/>
      <w:b/>
      <w:bCs/>
      <w:kern w:val="2"/>
      <w:sz w:val="32"/>
      <w:szCs w:val="32"/>
    </w:rPr>
  </w:style>
  <w:style w:type="character" w:customStyle="1" w:styleId="17">
    <w:name w:val="批注框文本 字符"/>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631</Words>
  <Characters>3602</Characters>
  <Lines>30</Lines>
  <Paragraphs>8</Paragraphs>
  <TotalTime>0</TotalTime>
  <ScaleCrop>false</ScaleCrop>
  <LinksUpToDate>false</LinksUpToDate>
  <CharactersWithSpaces>4225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2021-09-09T02:12:00Z</dcterms:created>
  <dc:creator>烟囱乌鸦❁҉҉҉҉҉҉҉҉</dc:creator>
  <cp:lastModifiedBy>烟囱乌鸦❁҉҉҉҉҉҉҉҉</cp:lastModifiedBy>
  <cp:lastPrinted>2021-09-22T08:25:00Z</cp:lastPrinted>
  <dcterms:modified xsi:type="dcterms:W3CDTF">2021-10-13T03:12:30Z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2E9C89705FF043E3A8547707426612A9</vt:lpwstr>
  </property>
</Properties>
</file>