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方正黑体简体"/>
          <w:sz w:val="32"/>
          <w:szCs w:val="32"/>
        </w:rPr>
      </w:pPr>
      <w:bookmarkStart w:id="0" w:name="_GoBack"/>
      <w:r>
        <w:rPr>
          <w:rFonts w:ascii="Times New Roman" w:hAnsi="Times New Roman" w:eastAsia="方正黑体简体"/>
          <w:sz w:val="32"/>
          <w:szCs w:val="32"/>
        </w:rPr>
        <w:t>附件2</w:t>
      </w:r>
    </w:p>
    <w:p>
      <w:pPr>
        <w:spacing w:line="64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（一）城区和颜店镇基准地价更新表</w:t>
      </w:r>
    </w:p>
    <w:bookmarkEnd w:id="0"/>
    <w:tbl>
      <w:tblPr>
        <w:tblStyle w:val="4"/>
        <w:tblpPr w:leftFromText="180" w:rightFromText="180" w:vertAnchor="text" w:horzAnchor="page" w:tblpXSpec="center" w:tblpY="31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801"/>
        <w:gridCol w:w="3225"/>
        <w:gridCol w:w="3413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31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简体"/>
                <w:sz w:val="28"/>
                <w:szCs w:val="28"/>
              </w:rPr>
            </w:pPr>
            <w:r>
              <w:rPr>
                <w:rFonts w:ascii="Times New Roman" w:hAnsi="Times New Roman" w:eastAsia="方正黑体简体"/>
                <w:sz w:val="28"/>
                <w:szCs w:val="28"/>
              </w:rPr>
              <w:t>土地级别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简体"/>
                <w:sz w:val="28"/>
                <w:szCs w:val="28"/>
              </w:rPr>
            </w:pPr>
            <w:r>
              <w:rPr>
                <w:rFonts w:ascii="Times New Roman" w:hAnsi="Times New Roman" w:eastAsia="方正黑体简体"/>
                <w:sz w:val="28"/>
                <w:szCs w:val="28"/>
              </w:rPr>
              <w:t>商服用地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简体"/>
                <w:sz w:val="28"/>
                <w:szCs w:val="28"/>
              </w:rPr>
            </w:pPr>
            <w:r>
              <w:rPr>
                <w:rFonts w:ascii="Times New Roman" w:hAnsi="Times New Roman" w:eastAsia="方正黑体简体"/>
                <w:sz w:val="28"/>
                <w:szCs w:val="28"/>
              </w:rPr>
              <w:t>住宅用地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简体"/>
                <w:sz w:val="28"/>
                <w:szCs w:val="28"/>
              </w:rPr>
            </w:pPr>
            <w:r>
              <w:rPr>
                <w:rFonts w:ascii="Times New Roman" w:hAnsi="Times New Roman" w:eastAsia="方正黑体简体"/>
                <w:sz w:val="28"/>
                <w:szCs w:val="28"/>
              </w:rPr>
              <w:t>工业用地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一级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基准地价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2525元/m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168.33万元/亩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）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2816元/m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（187.73万元/亩）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880元/m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（58.67万元/亩）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楼面地价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1403元/m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1564元/m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880元/m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二级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基准地价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2043元/m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（136.2万元/亩）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2348元/m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（156.53万元/亩）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537元/m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（35.80万元/亩）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楼面地价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1135元/m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1304元/m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537元/m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三级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基准地价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1221元/m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（81.4万元/亩）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1580元/m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（105.33万元/亩）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435元/m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（29.00万元/亩）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楼面地价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678元/m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878元/m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435元/m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四级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基准地价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721元/m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（48.07万元/亩）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930元/m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（62万元/亩）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330元/m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（22万元/亩）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楼面地价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401元/m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517元/m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330元/m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颜店镇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基准地价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1465元/m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（97.67万元/亩）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1900元/m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（126.67万元/亩）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345元/m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（23万元/亩）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楼面地价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814元/m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1056元/m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3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345元/m</w:t>
            </w:r>
            <w:r>
              <w:rPr>
                <w:rFonts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</w:p>
        </w:tc>
      </w:tr>
    </w:tbl>
    <w:p>
      <w:pPr>
        <w:spacing w:line="560" w:lineRule="exact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方正仿宋简体"/>
          <w:sz w:val="30"/>
          <w:szCs w:val="30"/>
        </w:rPr>
        <w:t>地价基准日：2023年1月1日</w:t>
      </w:r>
    </w:p>
    <w:p/>
    <w:sectPr>
      <w:pgSz w:w="16838" w:h="11906" w:orient="landscape"/>
      <w:pgMar w:top="1417" w:right="2041" w:bottom="1701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430332A3"/>
    <w:rsid w:val="4303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2024-07-01T02:27:00Z</dcterms:created>
  <dc:creator>Administrator</dc:creator>
  <cp:lastModifiedBy>Administrator</cp:lastModifiedBy>
  <dcterms:modified xsi:type="dcterms:W3CDTF">2024-07-01T02:31:53Z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0680ADB383AD4026B4C8E54A42268A02_11</vt:lpwstr>
  </property>
</Properties>
</file>