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方正黑体简体" w:cs="Times New Roman"/>
          <w:sz w:val="32"/>
          <w:szCs w:val="32"/>
        </w:rPr>
      </w:pPr>
      <w:r>
        <w:rPr>
          <w:rFonts w:ascii="Times New Roman" w:hAnsi="Times New Roman" w:eastAsia="方正黑体简体" w:cs="Times New Roman"/>
          <w:sz w:val="32"/>
          <w:szCs w:val="32"/>
        </w:rPr>
        <w:t>附件1</w:t>
      </w:r>
    </w:p>
    <w:p>
      <w:pPr>
        <w:spacing w:line="240" w:lineRule="exact"/>
        <w:ind w:firstLine="640" w:firstLineChars="200"/>
        <w:rPr>
          <w:rFonts w:ascii="Times New Roman" w:hAnsi="Times New Roman" w:eastAsia="方正仿宋简体" w:cs="Times New Roman"/>
          <w:sz w:val="32"/>
          <w:szCs w:val="32"/>
        </w:rPr>
      </w:pPr>
    </w:p>
    <w:p>
      <w:pPr>
        <w:pStyle w:val="2"/>
        <w:spacing w:before="0" w:beforeAutospacing="0" w:after="0" w:afterAutospacing="0"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食品安全事故分级及响应标准</w:t>
      </w:r>
    </w:p>
    <w:p>
      <w:pPr>
        <w:pStyle w:val="2"/>
        <w:spacing w:before="0" w:beforeAutospacing="0" w:after="0" w:afterAutospacing="0" w:line="240" w:lineRule="exact"/>
        <w:jc w:val="center"/>
        <w:rPr>
          <w:rFonts w:ascii="Times New Roman" w:hAnsi="Times New Roman" w:eastAsia="方正小标宋简体" w:cs="Times New Roman"/>
          <w:sz w:val="44"/>
          <w:szCs w:val="44"/>
        </w:rPr>
      </w:pPr>
    </w:p>
    <w:tbl>
      <w:tblPr>
        <w:tblStyle w:val="3"/>
        <w:tblW w:w="884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971"/>
        <w:gridCol w:w="5412"/>
        <w:gridCol w:w="1217"/>
        <w:gridCol w:w="124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971"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事故</w:t>
            </w:r>
          </w:p>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分级</w:t>
            </w:r>
          </w:p>
        </w:tc>
        <w:tc>
          <w:tcPr>
            <w:tcW w:w="5412"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评 估 指 标</w:t>
            </w:r>
          </w:p>
        </w:tc>
        <w:tc>
          <w:tcPr>
            <w:tcW w:w="1217"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应急</w:t>
            </w:r>
          </w:p>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响应</w:t>
            </w:r>
          </w:p>
        </w:tc>
        <w:tc>
          <w:tcPr>
            <w:tcW w:w="1245" w:type="dxa"/>
            <w:noWrap/>
            <w:vAlign w:val="center"/>
          </w:tcPr>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启动</w:t>
            </w:r>
          </w:p>
          <w:p>
            <w:pPr>
              <w:spacing w:line="320" w:lineRule="exact"/>
              <w:jc w:val="center"/>
              <w:rPr>
                <w:rFonts w:ascii="Times New Roman" w:hAnsi="Times New Roman" w:eastAsia="方正黑体简体" w:cs="Times New Roman"/>
                <w:bCs/>
                <w:sz w:val="24"/>
                <w:szCs w:val="24"/>
              </w:rPr>
            </w:pPr>
            <w:r>
              <w:rPr>
                <w:rFonts w:ascii="Times New Roman" w:hAnsi="Times New Roman" w:eastAsia="方正黑体简体" w:cs="Times New Roman"/>
                <w:bCs/>
                <w:sz w:val="24"/>
                <w:szCs w:val="24"/>
              </w:rPr>
              <w:t>级别</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070"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Ⅰ</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（1）事故影响范围涉及2个以上省份或国（境）外、港澳台地区，造成特别严重健康损害后果的；或经评估认为事故危害特别严重的。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（2）国务院认定的其他</w:t>
            </w:r>
            <w:r>
              <w:rPr>
                <w:rFonts w:hint="eastAsia" w:ascii="宋体" w:hAnsi="宋体" w:cs="宋体"/>
                <w:sz w:val="24"/>
                <w:szCs w:val="24"/>
              </w:rPr>
              <w:t>Ⅰ</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Ⅰ</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国家级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299"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Ⅱ</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（1）事故影响范围涉及2个以上市，造成或经评估认为可能造成对社会公众健康产生严重损害的食物中毒或食源性疾病的；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（2）事故造成伤害人数在100人以上并出现死亡病例的；或造成10人以上死亡的；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（3）发现在我国首次出现的新污染物引起的食源性疾病，造成严重健康损害后果，并有扩散趋势的；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（4）省级以上政府认定的其他</w:t>
            </w:r>
            <w:r>
              <w:rPr>
                <w:rFonts w:hint="eastAsia" w:ascii="宋体" w:hAnsi="宋体" w:cs="宋体"/>
                <w:sz w:val="24"/>
                <w:szCs w:val="24"/>
              </w:rPr>
              <w:t>Ⅱ</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Ⅱ</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省级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405"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Ⅲ</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（1）事故影响范围涉及2个以上县（市、区），造成严重健康损害后果的；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（2）事故造成伤害人数在100人以上的；或出现死亡病例10人以下的；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（3）市级以上政府认定的其他</w:t>
            </w:r>
            <w:r>
              <w:rPr>
                <w:rFonts w:hint="eastAsia" w:ascii="宋体" w:hAnsi="宋体" w:cs="宋体"/>
                <w:sz w:val="24"/>
                <w:szCs w:val="24"/>
              </w:rPr>
              <w:t>Ⅲ</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Ⅲ</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市级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21" w:hRule="atLeast"/>
          <w:jc w:val="center"/>
        </w:trPr>
        <w:tc>
          <w:tcPr>
            <w:tcW w:w="971"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Ⅳ</w:t>
            </w:r>
            <w:r>
              <w:rPr>
                <w:rFonts w:ascii="Times New Roman" w:hAnsi="Times New Roman" w:eastAsia="方正仿宋简体" w:cs="Times New Roman"/>
                <w:sz w:val="24"/>
                <w:szCs w:val="24"/>
              </w:rPr>
              <w:t>级</w:t>
            </w:r>
          </w:p>
        </w:tc>
        <w:tc>
          <w:tcPr>
            <w:tcW w:w="5412" w:type="dxa"/>
            <w:vAlign w:val="center"/>
          </w:tcPr>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符合下列条件之一的：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（1）事故影响范围涉及县级行政区域内2个以上乡镇（街道），造成严重健康损害后果的；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（2）事故造成伤害人数在100人以下，且未出现死亡病例的；</w:t>
            </w:r>
          </w:p>
          <w:p>
            <w:pPr>
              <w:spacing w:line="320" w:lineRule="exact"/>
              <w:rPr>
                <w:rFonts w:ascii="Times New Roman" w:hAnsi="Times New Roman" w:eastAsia="方正仿宋简体" w:cs="Times New Roman"/>
                <w:sz w:val="24"/>
                <w:szCs w:val="24"/>
              </w:rPr>
            </w:pPr>
            <w:r>
              <w:rPr>
                <w:rFonts w:ascii="Times New Roman" w:hAnsi="Times New Roman" w:eastAsia="方正仿宋简体" w:cs="Times New Roman"/>
                <w:sz w:val="24"/>
                <w:szCs w:val="24"/>
              </w:rPr>
              <w:t>（3）县级以上政府认定的其他</w:t>
            </w:r>
            <w:r>
              <w:rPr>
                <w:rFonts w:hint="eastAsia" w:ascii="宋体" w:hAnsi="宋体" w:cs="宋体"/>
                <w:sz w:val="24"/>
                <w:szCs w:val="24"/>
              </w:rPr>
              <w:t>Ⅳ</w:t>
            </w:r>
            <w:r>
              <w:rPr>
                <w:rFonts w:ascii="Times New Roman" w:hAnsi="Times New Roman" w:eastAsia="方正仿宋简体" w:cs="Times New Roman"/>
                <w:sz w:val="24"/>
                <w:szCs w:val="24"/>
              </w:rPr>
              <w:t>级食品安全事故。</w:t>
            </w:r>
          </w:p>
        </w:tc>
        <w:tc>
          <w:tcPr>
            <w:tcW w:w="1217" w:type="dxa"/>
            <w:noWrap/>
            <w:vAlign w:val="center"/>
          </w:tcPr>
          <w:p>
            <w:pPr>
              <w:spacing w:line="320" w:lineRule="exact"/>
              <w:jc w:val="center"/>
              <w:rPr>
                <w:rFonts w:ascii="Times New Roman" w:hAnsi="Times New Roman" w:eastAsia="方正仿宋简体" w:cs="Times New Roman"/>
                <w:sz w:val="24"/>
                <w:szCs w:val="24"/>
              </w:rPr>
            </w:pPr>
            <w:r>
              <w:rPr>
                <w:rFonts w:hint="eastAsia" w:ascii="宋体" w:hAnsi="宋体" w:cs="宋体"/>
                <w:sz w:val="24"/>
                <w:szCs w:val="24"/>
              </w:rPr>
              <w:t>Ⅳ</w:t>
            </w:r>
            <w:r>
              <w:rPr>
                <w:rFonts w:ascii="Times New Roman" w:hAnsi="Times New Roman" w:eastAsia="方正仿宋简体" w:cs="Times New Roman"/>
                <w:sz w:val="24"/>
                <w:szCs w:val="24"/>
              </w:rPr>
              <w:t>级响应</w:t>
            </w:r>
          </w:p>
        </w:tc>
        <w:tc>
          <w:tcPr>
            <w:tcW w:w="1245" w:type="dxa"/>
            <w:noWrap/>
            <w:vAlign w:val="center"/>
          </w:tcPr>
          <w:p>
            <w:pPr>
              <w:spacing w:line="32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县（市、区）级</w:t>
            </w:r>
          </w:p>
        </w:tc>
      </w:tr>
    </w:tbl>
    <w:p>
      <w:pPr>
        <w:pStyle w:val="2"/>
        <w:spacing w:before="0" w:beforeAutospacing="0" w:after="0" w:afterAutospacing="0" w:line="240" w:lineRule="exact"/>
        <w:ind w:firstLine="1320" w:firstLineChars="300"/>
        <w:jc w:val="both"/>
        <w:rPr>
          <w:rFonts w:ascii="Times New Roman" w:hAnsi="Times New Roman" w:eastAsia="方正小标宋简体" w:cs="Times New Roman"/>
          <w:sz w:val="44"/>
          <w:szCs w:val="44"/>
        </w:rPr>
      </w:pPr>
    </w:p>
    <w:p>
      <w:pPr>
        <w:widowControl/>
        <w:spacing w:line="40" w:lineRule="exact"/>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00000000"/>
    <w:rsid w:val="192E7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2023-11-07T08:08:27Z</dcterms:created>
  <dc:creator>Administrator</dc:creator>
  <cp:lastModifiedBy>Administrator</cp:lastModifiedBy>
  <dcterms:modified xsi:type="dcterms:W3CDTF">2023-11-07T08:08:39Z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E99D8753D58B43C6B8BBC21EBDDF6047_12</vt:lpwstr>
  </property>
</Properties>
</file>