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方正小标宋简体" w:eastAsia="方正小标宋简体"/>
          <w:spacing w:val="60"/>
          <w:sz w:val="52"/>
          <w:szCs w:val="52"/>
        </w:rPr>
      </w:pPr>
      <w:r>
        <w:rPr>
          <w:rFonts w:hint="eastAsia" w:ascii="方正小标宋简体" w:eastAsia="方正小标宋简体"/>
          <w:spacing w:val="60"/>
          <w:sz w:val="52"/>
          <w:szCs w:val="52"/>
        </w:rPr>
        <w:t>2019年度</w:t>
      </w:r>
    </w:p>
    <w:p>
      <w:pPr>
        <w:jc w:val="center"/>
        <w:rPr>
          <w:rFonts w:ascii="方正小标宋简体" w:eastAsia="方正小标宋简体"/>
          <w:spacing w:val="60"/>
          <w:sz w:val="48"/>
          <w:szCs w:val="48"/>
        </w:rPr>
      </w:pPr>
      <w:r>
        <w:rPr>
          <w:rFonts w:hint="eastAsia" w:ascii="方正小标宋简体" w:eastAsia="方正小标宋简体"/>
          <w:spacing w:val="60"/>
          <w:sz w:val="48"/>
          <w:szCs w:val="48"/>
        </w:rPr>
        <w:t>济宁市兖州区电影发行放映公司</w:t>
      </w:r>
    </w:p>
    <w:p>
      <w:pPr>
        <w:jc w:val="center"/>
        <w:rPr>
          <w:rFonts w:ascii="方正小标宋简体" w:eastAsia="方正小标宋简体"/>
          <w:spacing w:val="60"/>
          <w:sz w:val="52"/>
          <w:szCs w:val="52"/>
        </w:rPr>
      </w:pPr>
      <w:r>
        <w:rPr>
          <w:rFonts w:hint="eastAsia" w:ascii="方正小标宋简体" w:eastAsia="方正小标宋简体"/>
          <w:spacing w:val="60"/>
          <w:sz w:val="52"/>
          <w:szCs w:val="52"/>
        </w:rPr>
        <w:t>部门决算</w:t>
      </w:r>
    </w:p>
    <w:p>
      <w:pPr>
        <w:jc w:val="center"/>
        <w:rPr>
          <w:rFonts w:ascii="楷体_GB2312" w:eastAsia="楷体_GB2312"/>
          <w:b/>
          <w:sz w:val="42"/>
        </w:rPr>
      </w:pPr>
    </w:p>
    <w:p>
      <w:pPr>
        <w:jc w:val="center"/>
        <w:rPr>
          <w:rFonts w:ascii="楷体_GB2312" w:eastAsia="楷体_GB2312"/>
          <w:b/>
          <w:sz w:val="42"/>
        </w:rPr>
      </w:pPr>
    </w:p>
    <w:p>
      <w:pPr>
        <w:rPr>
          <w:rFonts w:ascii="仿宋_GB2312" w:eastAsia="仿宋_GB2312"/>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rPr>
          <w:rFonts w:ascii="方正小标宋简体" w:eastAsia="方正小标宋简体"/>
          <w:sz w:val="44"/>
          <w:szCs w:val="44"/>
        </w:rPr>
      </w:pPr>
    </w:p>
    <w:p>
      <w:pPr>
        <w:spacing w:after="305" w:afterLines="50" w:line="580" w:lineRule="exact"/>
        <w:jc w:val="center"/>
        <w:rPr>
          <w:rFonts w:ascii="方正小标宋简体" w:eastAsia="方正小标宋简体"/>
          <w:color w:val="FF0000"/>
          <w:sz w:val="44"/>
          <w:szCs w:val="44"/>
        </w:rPr>
      </w:pPr>
      <w:r>
        <w:rPr>
          <w:rFonts w:hint="eastAsia" w:ascii="方正小标宋简体" w:eastAsia="方正小标宋简体"/>
          <w:sz w:val="44"/>
          <w:szCs w:val="44"/>
        </w:rPr>
        <w:t>目  录</w:t>
      </w:r>
    </w:p>
    <w:p>
      <w:pPr>
        <w:spacing w:line="580" w:lineRule="exact"/>
        <w:ind w:firstLine="276" w:firstLineChars="100"/>
        <w:rPr>
          <w:rFonts w:ascii="黑体" w:hAnsi="黑体" w:eastAsia="黑体"/>
          <w:b/>
          <w:sz w:val="28"/>
          <w:szCs w:val="28"/>
        </w:rPr>
      </w:pPr>
      <w:r>
        <w:rPr>
          <w:rFonts w:hint="eastAsia" w:ascii="黑体" w:hAnsi="黑体" w:eastAsia="黑体"/>
          <w:sz w:val="28"/>
          <w:szCs w:val="28"/>
        </w:rPr>
        <w:t>第一部分  部门概况</w:t>
      </w:r>
      <w:r>
        <w:rPr>
          <w:rFonts w:hint="eastAsia" w:ascii="仿宋_GB2312" w:eastAsia="仿宋_GB2312"/>
          <w:sz w:val="28"/>
          <w:szCs w:val="28"/>
        </w:rPr>
        <w:t>......................................</w:t>
      </w:r>
      <w:r>
        <w:rPr>
          <w:rFonts w:ascii="仿宋_GB2312" w:eastAsia="仿宋_GB2312"/>
          <w:sz w:val="28"/>
          <w:szCs w:val="28"/>
        </w:rPr>
        <w:t>...4</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一、部门职责..........................................</w:t>
      </w:r>
      <w:r>
        <w:rPr>
          <w:rFonts w:ascii="仿宋_GB2312" w:eastAsia="仿宋_GB2312"/>
          <w:sz w:val="28"/>
          <w:szCs w:val="28"/>
        </w:rPr>
        <w:t>...5</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二、机构设置..........................................</w:t>
      </w:r>
      <w:r>
        <w:rPr>
          <w:rFonts w:ascii="仿宋_GB2312" w:eastAsia="仿宋_GB2312"/>
          <w:sz w:val="28"/>
          <w:szCs w:val="28"/>
        </w:rPr>
        <w:t>...5</w:t>
      </w:r>
    </w:p>
    <w:p>
      <w:pPr>
        <w:spacing w:line="580" w:lineRule="exact"/>
        <w:ind w:firstLine="276" w:firstLineChars="100"/>
        <w:rPr>
          <w:rFonts w:ascii="黑体" w:hAnsi="黑体" w:eastAsia="黑体"/>
          <w:sz w:val="28"/>
          <w:szCs w:val="28"/>
        </w:rPr>
      </w:pPr>
      <w:r>
        <w:rPr>
          <w:rFonts w:hint="eastAsia" w:ascii="黑体" w:hAnsi="黑体" w:eastAsia="黑体"/>
          <w:sz w:val="28"/>
          <w:szCs w:val="28"/>
        </w:rPr>
        <w:t>第二部分  2019年度部门决算表</w:t>
      </w:r>
      <w:r>
        <w:rPr>
          <w:rFonts w:hint="eastAsia" w:ascii="仿宋_GB2312" w:eastAsia="仿宋_GB2312"/>
          <w:sz w:val="28"/>
          <w:szCs w:val="28"/>
        </w:rPr>
        <w:t>............................</w:t>
      </w:r>
      <w:r>
        <w:rPr>
          <w:rFonts w:ascii="仿宋_GB2312" w:eastAsia="仿宋_GB2312"/>
          <w:sz w:val="28"/>
          <w:szCs w:val="28"/>
        </w:rPr>
        <w:t>...6</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一、收入支出决算总表...................................</w:t>
      </w:r>
      <w:r>
        <w:rPr>
          <w:rFonts w:ascii="仿宋_GB2312" w:eastAsia="仿宋_GB2312"/>
          <w:sz w:val="28"/>
          <w:szCs w:val="28"/>
        </w:rPr>
        <w:t>..7</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二、收入决算表.........................................</w:t>
      </w:r>
      <w:r>
        <w:rPr>
          <w:rFonts w:ascii="仿宋_GB2312" w:eastAsia="仿宋_GB2312"/>
          <w:sz w:val="28"/>
          <w:szCs w:val="28"/>
        </w:rPr>
        <w:t>..8</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三、支出决算表.........................................</w:t>
      </w:r>
      <w:r>
        <w:rPr>
          <w:rFonts w:ascii="仿宋_GB2312" w:eastAsia="仿宋_GB2312"/>
          <w:sz w:val="28"/>
          <w:szCs w:val="28"/>
        </w:rPr>
        <w:t>..9</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四、财政拨款收入支出决算总表...........................</w:t>
      </w:r>
      <w:r>
        <w:rPr>
          <w:rFonts w:ascii="仿宋_GB2312" w:eastAsia="仿宋_GB2312"/>
          <w:sz w:val="28"/>
          <w:szCs w:val="28"/>
        </w:rPr>
        <w:t>.</w:t>
      </w:r>
      <w:r>
        <w:rPr>
          <w:rFonts w:hint="eastAsia" w:ascii="仿宋_GB2312" w:eastAsia="仿宋_GB2312"/>
          <w:sz w:val="28"/>
          <w:szCs w:val="28"/>
        </w:rPr>
        <w:t>10</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五、一般公共预算财政拨款支出决算表.....................</w:t>
      </w:r>
      <w:r>
        <w:rPr>
          <w:rFonts w:ascii="仿宋_GB2312" w:eastAsia="仿宋_GB2312"/>
          <w:sz w:val="28"/>
          <w:szCs w:val="28"/>
        </w:rPr>
        <w:t>.</w:t>
      </w:r>
      <w:r>
        <w:rPr>
          <w:rFonts w:hint="eastAsia" w:ascii="仿宋_GB2312" w:eastAsia="仿宋_GB2312"/>
          <w:sz w:val="28"/>
          <w:szCs w:val="28"/>
        </w:rPr>
        <w:t>11</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六、一般公共预算财政拨款基本支出决算表..........</w:t>
      </w:r>
      <w:r>
        <w:rPr>
          <w:rFonts w:ascii="仿宋_GB2312" w:eastAsia="仿宋_GB2312"/>
          <w:sz w:val="28"/>
          <w:szCs w:val="28"/>
        </w:rPr>
        <w:t>........12</w:t>
      </w:r>
      <w:r>
        <w:rPr>
          <w:rFonts w:hint="eastAsia" w:ascii="仿宋_GB2312" w:eastAsia="仿宋_GB2312"/>
          <w:sz w:val="28"/>
          <w:szCs w:val="28"/>
        </w:rPr>
        <w:t xml:space="preserve">  </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七、一般公共预算财政拨款“三公”经费支出决算表 .....</w:t>
      </w: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4</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八、政府性基金预算财政拨款收入支出决算表...........</w:t>
      </w:r>
      <w:r>
        <w:rPr>
          <w:rFonts w:ascii="仿宋_GB2312" w:eastAsia="仿宋_GB2312"/>
          <w:sz w:val="28"/>
          <w:szCs w:val="28"/>
        </w:rPr>
        <w:t>.....15</w:t>
      </w:r>
      <w:r>
        <w:rPr>
          <w:rFonts w:hint="eastAsia" w:ascii="仿宋_GB2312" w:eastAsia="仿宋_GB2312"/>
          <w:sz w:val="28"/>
          <w:szCs w:val="28"/>
        </w:rPr>
        <w:t xml:space="preserve"> </w:t>
      </w:r>
    </w:p>
    <w:p>
      <w:pPr>
        <w:spacing w:line="580" w:lineRule="exact"/>
        <w:ind w:firstLine="276" w:firstLineChars="100"/>
        <w:rPr>
          <w:rFonts w:ascii="黑体" w:hAnsi="黑体" w:eastAsia="黑体"/>
          <w:sz w:val="28"/>
          <w:szCs w:val="28"/>
        </w:rPr>
      </w:pPr>
      <w:r>
        <w:rPr>
          <w:rFonts w:hint="eastAsia" w:ascii="黑体" w:hAnsi="黑体" w:eastAsia="黑体"/>
          <w:sz w:val="28"/>
          <w:szCs w:val="28"/>
        </w:rPr>
        <w:t>第三部分  2019年度部门决算情况说明</w:t>
      </w:r>
      <w:r>
        <w:rPr>
          <w:rFonts w:hint="eastAsia" w:ascii="仿宋_GB2312" w:eastAsia="仿宋_GB2312"/>
          <w:sz w:val="28"/>
          <w:szCs w:val="28"/>
        </w:rPr>
        <w:t>...... ...... ......</w:t>
      </w:r>
      <w:r>
        <w:rPr>
          <w:rFonts w:ascii="仿宋_GB2312" w:eastAsia="仿宋_GB2312"/>
          <w:sz w:val="28"/>
          <w:szCs w:val="28"/>
        </w:rPr>
        <w:t>....</w:t>
      </w:r>
      <w:r>
        <w:rPr>
          <w:rFonts w:hint="eastAsia" w:ascii="仿宋_GB2312" w:hAnsi="黑体" w:eastAsia="仿宋_GB2312"/>
          <w:sz w:val="28"/>
          <w:szCs w:val="28"/>
        </w:rPr>
        <w:t>16</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一、收入支出决算总体情况说明........................</w:t>
      </w:r>
      <w:r>
        <w:rPr>
          <w:rFonts w:ascii="仿宋_GB2312" w:eastAsia="仿宋_GB2312"/>
          <w:sz w:val="28"/>
          <w:szCs w:val="28"/>
        </w:rPr>
        <w:t>....17</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二、收入决算情况说明................................</w:t>
      </w:r>
      <w:r>
        <w:rPr>
          <w:rFonts w:ascii="仿宋_GB2312" w:eastAsia="仿宋_GB2312"/>
          <w:sz w:val="28"/>
          <w:szCs w:val="28"/>
        </w:rPr>
        <w:t>....17</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三、支出决算情况说明...............................</w:t>
      </w:r>
      <w:r>
        <w:rPr>
          <w:rFonts w:ascii="仿宋_GB2312" w:eastAsia="仿宋_GB2312"/>
          <w:sz w:val="28"/>
          <w:szCs w:val="28"/>
        </w:rPr>
        <w:t>..</w:t>
      </w:r>
      <w:r>
        <w:rPr>
          <w:rFonts w:hint="eastAsia" w:ascii="仿宋_GB2312" w:eastAsia="仿宋_GB2312"/>
          <w:sz w:val="28"/>
          <w:szCs w:val="28"/>
        </w:rPr>
        <w:t>..</w:t>
      </w:r>
      <w:r>
        <w:rPr>
          <w:rFonts w:ascii="仿宋_GB2312" w:eastAsia="仿宋_GB2312"/>
          <w:sz w:val="28"/>
          <w:szCs w:val="28"/>
        </w:rPr>
        <w:t>.18</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四、财政拨款收入支出决算总体情况说明..............</w:t>
      </w:r>
      <w:r>
        <w:rPr>
          <w:rFonts w:ascii="仿宋_GB2312" w:eastAsia="仿宋_GB2312"/>
          <w:sz w:val="28"/>
          <w:szCs w:val="28"/>
        </w:rPr>
        <w:t>..</w:t>
      </w:r>
      <w:r>
        <w:rPr>
          <w:rFonts w:hint="eastAsia" w:ascii="仿宋_GB2312" w:eastAsia="仿宋_GB2312"/>
          <w:sz w:val="28"/>
          <w:szCs w:val="28"/>
        </w:rPr>
        <w:t>.</w:t>
      </w:r>
      <w:r>
        <w:rPr>
          <w:rFonts w:ascii="仿宋_GB2312" w:eastAsia="仿宋_GB2312"/>
          <w:sz w:val="28"/>
          <w:szCs w:val="28"/>
        </w:rPr>
        <w:t>...18</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五、一般公共预算财政拨款支出决算情况说明...........</w:t>
      </w:r>
      <w:r>
        <w:rPr>
          <w:rFonts w:ascii="仿宋_GB2312" w:eastAsia="仿宋_GB2312"/>
          <w:sz w:val="28"/>
          <w:szCs w:val="28"/>
        </w:rPr>
        <w:t>......18</w:t>
      </w:r>
    </w:p>
    <w:p>
      <w:pPr>
        <w:spacing w:line="580" w:lineRule="exact"/>
        <w:ind w:firstLine="552" w:firstLineChars="200"/>
        <w:rPr>
          <w:rFonts w:ascii="仿宋_GB2312" w:eastAsia="仿宋_GB2312"/>
          <w:sz w:val="28"/>
          <w:szCs w:val="28"/>
        </w:rPr>
      </w:pPr>
      <w:r>
        <w:rPr>
          <w:rFonts w:hint="eastAsia" w:ascii="仿宋_GB2312" w:eastAsia="仿宋_GB2312"/>
          <w:sz w:val="28"/>
          <w:szCs w:val="28"/>
        </w:rPr>
        <w:t>六、一般公共预算财政拨款基本支出决算情况说明..........</w:t>
      </w:r>
      <w:r>
        <w:rPr>
          <w:rFonts w:ascii="仿宋_GB2312" w:eastAsia="仿宋_GB2312"/>
          <w:sz w:val="28"/>
          <w:szCs w:val="28"/>
        </w:rPr>
        <w:t>...20</w:t>
      </w:r>
    </w:p>
    <w:p>
      <w:pPr>
        <w:spacing w:line="580" w:lineRule="exact"/>
        <w:ind w:firstLine="552" w:firstLineChars="200"/>
        <w:rPr>
          <w:rFonts w:ascii="仿宋_GB2312" w:eastAsia="仿宋_GB2312"/>
          <w:spacing w:val="-2"/>
          <w:sz w:val="28"/>
          <w:szCs w:val="28"/>
        </w:rPr>
      </w:pPr>
      <w:r>
        <w:rPr>
          <w:rFonts w:hint="eastAsia" w:ascii="仿宋_GB2312" w:eastAsia="仿宋_GB2312"/>
          <w:sz w:val="28"/>
          <w:szCs w:val="28"/>
        </w:rPr>
        <w:t>七、</w:t>
      </w:r>
      <w:r>
        <w:rPr>
          <w:rFonts w:hint="eastAsia" w:ascii="仿宋_GB2312" w:eastAsia="仿宋_GB2312"/>
          <w:spacing w:val="-2"/>
          <w:sz w:val="28"/>
          <w:szCs w:val="28"/>
        </w:rPr>
        <w:t>一般公共预算财政拨款“三公”经费支出决算情况说明</w:t>
      </w:r>
      <w:r>
        <w:rPr>
          <w:rFonts w:hint="eastAsia" w:ascii="仿宋_GB2312" w:eastAsia="仿宋_GB2312"/>
          <w:sz w:val="28"/>
          <w:szCs w:val="28"/>
        </w:rPr>
        <w:t>....</w:t>
      </w:r>
      <w:r>
        <w:rPr>
          <w:rFonts w:ascii="仿宋_GB2312" w:eastAsia="仿宋_GB2312"/>
          <w:sz w:val="28"/>
          <w:szCs w:val="28"/>
        </w:rPr>
        <w:t>.</w:t>
      </w:r>
      <w:r>
        <w:rPr>
          <w:rFonts w:ascii="仿宋_GB2312" w:eastAsia="仿宋_GB2312"/>
          <w:spacing w:val="-2"/>
          <w:sz w:val="28"/>
          <w:szCs w:val="28"/>
        </w:rPr>
        <w:t>21</w:t>
      </w:r>
    </w:p>
    <w:p>
      <w:pPr>
        <w:spacing w:line="580" w:lineRule="exact"/>
        <w:ind w:firstLine="552" w:firstLineChars="200"/>
        <w:rPr>
          <w:rFonts w:ascii="仿宋_GB2312" w:eastAsia="仿宋_GB2312"/>
          <w:sz w:val="28"/>
          <w:szCs w:val="32"/>
        </w:rPr>
      </w:pPr>
      <w:r>
        <w:rPr>
          <w:rFonts w:hint="eastAsia" w:ascii="仿宋_GB2312" w:eastAsia="仿宋_GB2312"/>
          <w:sz w:val="28"/>
          <w:szCs w:val="32"/>
        </w:rPr>
        <w:t>八、政府性基金预算财政拨款收入支出决算情况说明.......</w:t>
      </w:r>
      <w:r>
        <w:rPr>
          <w:rFonts w:ascii="仿宋_GB2312" w:eastAsia="仿宋_GB2312"/>
          <w:sz w:val="28"/>
          <w:szCs w:val="32"/>
        </w:rPr>
        <w:t>...21</w:t>
      </w:r>
    </w:p>
    <w:p>
      <w:pPr>
        <w:spacing w:line="580" w:lineRule="exact"/>
        <w:ind w:firstLine="552" w:firstLineChars="200"/>
        <w:rPr>
          <w:rFonts w:ascii="仿宋_GB2312" w:eastAsia="仿宋_GB2312"/>
          <w:sz w:val="28"/>
          <w:szCs w:val="32"/>
        </w:rPr>
      </w:pPr>
      <w:r>
        <w:rPr>
          <w:rFonts w:hint="eastAsia" w:ascii="仿宋_GB2312" w:eastAsia="仿宋_GB2312"/>
          <w:sz w:val="28"/>
          <w:szCs w:val="32"/>
        </w:rPr>
        <w:t>九、重要事项情况说明.................................</w:t>
      </w:r>
      <w:r>
        <w:rPr>
          <w:rFonts w:ascii="仿宋_GB2312" w:eastAsia="仿宋_GB2312"/>
          <w:sz w:val="28"/>
          <w:szCs w:val="32"/>
        </w:rPr>
        <w:t>...21</w:t>
      </w:r>
    </w:p>
    <w:p>
      <w:pPr>
        <w:spacing w:line="580" w:lineRule="exact"/>
        <w:ind w:firstLine="276" w:firstLineChars="100"/>
        <w:rPr>
          <w:rFonts w:ascii="黑体" w:hAnsi="黑体" w:eastAsia="黑体"/>
          <w:sz w:val="28"/>
          <w:szCs w:val="32"/>
        </w:rPr>
      </w:pPr>
      <w:r>
        <w:rPr>
          <w:rFonts w:hint="eastAsia" w:ascii="黑体" w:hAnsi="黑体" w:eastAsia="黑体"/>
          <w:sz w:val="28"/>
          <w:szCs w:val="32"/>
        </w:rPr>
        <w:t>第四部分  名词解释........................................</w:t>
      </w:r>
      <w:r>
        <w:rPr>
          <w:rFonts w:hint="eastAsia" w:ascii="仿宋_GB2312" w:hAnsi="黑体" w:eastAsia="仿宋_GB2312"/>
          <w:sz w:val="28"/>
          <w:szCs w:val="32"/>
        </w:rPr>
        <w:t>22</w:t>
      </w:r>
    </w:p>
    <w:p>
      <w:pPr>
        <w:spacing w:line="580" w:lineRule="exact"/>
        <w:ind w:firstLine="276" w:firstLineChars="100"/>
        <w:rPr>
          <w:rFonts w:ascii="方正小标宋简体" w:eastAsia="黑体"/>
          <w:sz w:val="28"/>
        </w:rPr>
      </w:pPr>
      <w:r>
        <w:rPr>
          <w:rFonts w:hint="eastAsia" w:ascii="黑体" w:hAnsi="黑体" w:eastAsia="黑体"/>
          <w:sz w:val="28"/>
          <w:szCs w:val="32"/>
        </w:rPr>
        <w:t>第五部分   附件</w:t>
      </w:r>
      <w:r>
        <w:rPr>
          <w:rFonts w:ascii="黑体" w:hAnsi="黑体" w:eastAsia="黑体"/>
          <w:sz w:val="28"/>
          <w:szCs w:val="32"/>
        </w:rPr>
        <w:t>..</w:t>
      </w:r>
      <w:r>
        <w:rPr>
          <w:rFonts w:hint="eastAsia" w:ascii="黑体" w:hAnsi="黑体" w:eastAsia="黑体"/>
          <w:sz w:val="28"/>
          <w:szCs w:val="32"/>
        </w:rPr>
        <w:t>...................................</w:t>
      </w:r>
      <w:r>
        <w:rPr>
          <w:rFonts w:ascii="黑体" w:hAnsi="黑体" w:eastAsia="黑体"/>
          <w:sz w:val="28"/>
          <w:szCs w:val="32"/>
        </w:rPr>
        <w:t>......</w:t>
      </w:r>
      <w:r>
        <w:rPr>
          <w:rFonts w:hint="eastAsia" w:ascii="仿宋_GB2312" w:hAnsi="黑体" w:eastAsia="仿宋_GB2312"/>
          <w:sz w:val="28"/>
          <w:szCs w:val="32"/>
        </w:rPr>
        <w:t>26</w:t>
      </w:r>
    </w:p>
    <w:p>
      <w:pPr>
        <w:jc w:val="center"/>
        <w:rPr>
          <w:rFonts w:ascii="方正小标宋简体" w:eastAsia="方正小标宋简体"/>
          <w:sz w:val="42"/>
        </w:rPr>
      </w:pPr>
    </w:p>
    <w:p>
      <w:pPr>
        <w:widowControl/>
        <w:jc w:val="left"/>
        <w:rPr>
          <w:rFonts w:ascii="方正小标宋简体" w:eastAsia="方正小标宋简体"/>
          <w:spacing w:val="60"/>
          <w:sz w:val="42"/>
        </w:rPr>
      </w:pPr>
      <w:r>
        <w:rPr>
          <w:rFonts w:ascii="方正小标宋简体" w:eastAsia="方正小标宋简体"/>
          <w:spacing w:val="60"/>
          <w:sz w:val="42"/>
        </w:rPr>
        <w:br w:type="page"/>
      </w: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headerReference r:id="rId3" w:type="default"/>
          <w:footerReference r:id="rId4" w:type="default"/>
          <w:pgSz w:w="11906" w:h="16838"/>
          <w:pgMar w:top="1701" w:right="1531" w:bottom="1701" w:left="1531" w:header="0" w:footer="1418" w:gutter="0"/>
          <w:cols w:space="720" w:num="1"/>
          <w:docGrid w:type="linesAndChars" w:linePitch="610" w:charSpace="-849"/>
        </w:sectPr>
      </w:pPr>
    </w:p>
    <w:p>
      <w:pPr>
        <w:ind w:firstLine="632" w:firstLineChars="200"/>
        <w:rPr>
          <w:rFonts w:ascii="黑体" w:hAnsi="黑体" w:eastAsia="黑体"/>
          <w:sz w:val="32"/>
          <w:szCs w:val="32"/>
        </w:rPr>
      </w:pPr>
      <w:r>
        <w:rPr>
          <w:rFonts w:hint="eastAsia" w:ascii="黑体" w:hAnsi="黑体" w:eastAsia="黑体"/>
          <w:sz w:val="32"/>
          <w:szCs w:val="32"/>
        </w:rPr>
        <w:t>一、部门职责</w:t>
      </w:r>
    </w:p>
    <w:p>
      <w:pPr>
        <w:ind w:firstLine="632" w:firstLineChars="200"/>
        <w:rPr>
          <w:rFonts w:ascii="仿宋_GB2312" w:eastAsia="仿宋_GB2312"/>
          <w:sz w:val="32"/>
          <w:szCs w:val="32"/>
        </w:rPr>
      </w:pPr>
    </w:p>
    <w:p>
      <w:pPr>
        <w:widowControl/>
        <w:numPr>
          <w:ilvl w:val="0"/>
          <w:numId w:val="1"/>
        </w:numPr>
        <w:shd w:val="clear" w:color="auto" w:fill="FFFFFF"/>
        <w:spacing w:line="520" w:lineRule="exact"/>
        <w:ind w:left="640"/>
        <w:jc w:val="left"/>
        <w:rPr>
          <w:rFonts w:eastAsia="仿宋_GB2312"/>
          <w:bCs/>
          <w:color w:val="000000"/>
          <w:kern w:val="0"/>
          <w:sz w:val="32"/>
          <w:szCs w:val="32"/>
        </w:rPr>
      </w:pPr>
      <w:r>
        <w:rPr>
          <w:rFonts w:eastAsia="仿宋_GB2312"/>
          <w:bCs/>
          <w:color w:val="000000"/>
          <w:kern w:val="0"/>
          <w:sz w:val="32"/>
          <w:szCs w:val="32"/>
        </w:rPr>
        <w:t>济宁市兖州区电影发行放映公司，主要职责是负责全区</w:t>
      </w:r>
      <w:r>
        <w:rPr>
          <w:rFonts w:hint="eastAsia" w:eastAsia="仿宋_GB2312"/>
          <w:bCs/>
          <w:color w:val="000000"/>
          <w:kern w:val="0"/>
          <w:sz w:val="32"/>
          <w:szCs w:val="32"/>
        </w:rPr>
        <w:t xml:space="preserve"> </w:t>
      </w:r>
      <w:r>
        <w:rPr>
          <w:rFonts w:eastAsia="仿宋_GB2312"/>
          <w:bCs/>
          <w:color w:val="000000"/>
          <w:kern w:val="0"/>
          <w:sz w:val="32"/>
          <w:szCs w:val="32"/>
        </w:rPr>
        <w:t>电影，发行放映，服务于全市农村院线电影放映,承担全区农村每村每月一场电影的放映工作。</w:t>
      </w:r>
    </w:p>
    <w:p>
      <w:pPr>
        <w:rPr>
          <w:rFonts w:ascii="仿宋_GB2312" w:eastAsia="仿宋_GB2312"/>
          <w:b/>
          <w:sz w:val="32"/>
          <w:szCs w:val="32"/>
        </w:rPr>
      </w:pPr>
    </w:p>
    <w:p>
      <w:pPr>
        <w:ind w:firstLine="632" w:firstLineChars="200"/>
        <w:rPr>
          <w:rFonts w:ascii="仿宋_GB2312" w:eastAsia="仿宋_GB2312"/>
          <w:sz w:val="32"/>
          <w:szCs w:val="32"/>
        </w:rPr>
      </w:pPr>
    </w:p>
    <w:p>
      <w:pPr>
        <w:ind w:firstLine="632" w:firstLineChars="200"/>
        <w:rPr>
          <w:rFonts w:ascii="仿宋_GB2312" w:eastAsia="仿宋_GB2312"/>
          <w:sz w:val="32"/>
          <w:szCs w:val="32"/>
        </w:rPr>
      </w:pPr>
    </w:p>
    <w:p>
      <w:pPr>
        <w:ind w:firstLine="632" w:firstLineChars="200"/>
        <w:rPr>
          <w:rFonts w:ascii="仿宋_GB2312" w:eastAsia="仿宋_GB2312"/>
          <w:sz w:val="32"/>
          <w:szCs w:val="32"/>
        </w:rPr>
      </w:pPr>
    </w:p>
    <w:p>
      <w:pPr>
        <w:ind w:firstLine="632" w:firstLineChars="200"/>
        <w:rPr>
          <w:rFonts w:ascii="黑体" w:hAnsi="黑体" w:eastAsia="黑体"/>
          <w:sz w:val="32"/>
          <w:szCs w:val="32"/>
        </w:rPr>
      </w:pPr>
      <w:r>
        <w:rPr>
          <w:rFonts w:hint="eastAsia" w:ascii="黑体" w:hAnsi="黑体" w:eastAsia="黑体"/>
          <w:sz w:val="32"/>
          <w:szCs w:val="32"/>
        </w:rPr>
        <w:t>二、机构设置</w:t>
      </w:r>
    </w:p>
    <w:p>
      <w:pPr>
        <w:ind w:firstLine="632" w:firstLineChars="200"/>
        <w:rPr>
          <w:rFonts w:ascii="仿宋_GB2312" w:eastAsia="仿宋_GB2312"/>
          <w:sz w:val="32"/>
          <w:szCs w:val="32"/>
        </w:rPr>
      </w:pPr>
    </w:p>
    <w:p>
      <w:pPr>
        <w:tabs>
          <w:tab w:val="left" w:pos="1321"/>
        </w:tabs>
        <w:ind w:firstLine="632" w:firstLineChars="200"/>
        <w:rPr>
          <w:rFonts w:ascii="仿宋_GB2312" w:eastAsia="仿宋_GB2312"/>
          <w:sz w:val="32"/>
          <w:szCs w:val="32"/>
        </w:rPr>
      </w:pPr>
      <w:r>
        <w:rPr>
          <w:rFonts w:hint="eastAsia" w:ascii="仿宋_GB2312" w:eastAsia="仿宋_GB2312"/>
          <w:sz w:val="32"/>
          <w:szCs w:val="32"/>
        </w:rPr>
        <w:t>济宁市兖州区电影发行放映公司属区融媒体中心领导下的自收自支事业单位。</w:t>
      </w:r>
    </w:p>
    <w:p>
      <w:pPr>
        <w:snapToGrid w:val="0"/>
        <w:spacing w:line="520" w:lineRule="exact"/>
        <w:ind w:firstLine="632" w:firstLineChars="200"/>
        <w:rPr>
          <w:rFonts w:eastAsia="仿宋_GB2312"/>
          <w:b/>
          <w:color w:val="000000"/>
          <w:kern w:val="0"/>
          <w:sz w:val="32"/>
          <w:szCs w:val="32"/>
        </w:rPr>
      </w:pPr>
      <w:r>
        <w:rPr>
          <w:rFonts w:hint="eastAsia" w:eastAsia="仿宋_GB2312"/>
          <w:color w:val="000000"/>
          <w:kern w:val="0"/>
          <w:sz w:val="32"/>
          <w:szCs w:val="32"/>
        </w:rPr>
        <w:t>纳</w:t>
      </w:r>
      <w:r>
        <w:rPr>
          <w:rFonts w:eastAsia="仿宋_GB2312"/>
          <w:color w:val="000000"/>
          <w:kern w:val="0"/>
          <w:sz w:val="32"/>
          <w:szCs w:val="32"/>
        </w:rPr>
        <w:t>入</w:t>
      </w:r>
      <w:r>
        <w:rPr>
          <w:rFonts w:eastAsia="仿宋_GB2312"/>
          <w:sz w:val="32"/>
          <w:szCs w:val="32"/>
        </w:rPr>
        <w:t>电影发行放映公司</w:t>
      </w:r>
      <w:r>
        <w:rPr>
          <w:rFonts w:hint="eastAsia" w:eastAsia="仿宋_GB2312"/>
          <w:sz w:val="32"/>
          <w:szCs w:val="32"/>
        </w:rPr>
        <w:t>2019年</w:t>
      </w:r>
      <w:r>
        <w:rPr>
          <w:rFonts w:eastAsia="仿宋_GB2312"/>
          <w:sz w:val="32"/>
          <w:szCs w:val="32"/>
        </w:rPr>
        <w:t>度部门决算编制范围的预算单位</w:t>
      </w:r>
      <w:r>
        <w:rPr>
          <w:rFonts w:hint="eastAsia" w:eastAsia="仿宋_GB2312"/>
          <w:sz w:val="32"/>
          <w:szCs w:val="32"/>
        </w:rPr>
        <w:t>1个</w:t>
      </w:r>
      <w:r>
        <w:rPr>
          <w:rFonts w:eastAsia="仿宋_GB2312"/>
          <w:sz w:val="32"/>
          <w:szCs w:val="32"/>
        </w:rPr>
        <w:t>，为电影发行放映公司</w:t>
      </w:r>
      <w:r>
        <w:rPr>
          <w:rFonts w:hint="eastAsia" w:eastAsia="仿宋_GB2312"/>
          <w:sz w:val="32"/>
          <w:szCs w:val="32"/>
        </w:rPr>
        <w:t>本</w:t>
      </w:r>
      <w:r>
        <w:rPr>
          <w:rFonts w:eastAsia="仿宋_GB2312"/>
          <w:sz w:val="32"/>
          <w:szCs w:val="32"/>
        </w:rPr>
        <w:t>级。</w:t>
      </w:r>
    </w:p>
    <w:p>
      <w:pPr>
        <w:ind w:firstLine="632" w:firstLineChars="200"/>
        <w:rPr>
          <w:rFonts w:ascii="仿宋_GB2312" w:eastAsia="仿宋_GB2312"/>
          <w:sz w:val="32"/>
          <w:szCs w:val="32"/>
        </w:rPr>
      </w:pPr>
    </w:p>
    <w:p>
      <w:pPr>
        <w:tabs>
          <w:tab w:val="left" w:pos="1321"/>
        </w:tabs>
        <w:ind w:firstLine="632" w:firstLineChars="200"/>
        <w:rPr>
          <w:rFonts w:hint="eastAsia" w:ascii="仿宋_GB2312" w:eastAsia="仿宋_GB2312"/>
          <w:sz w:val="32"/>
          <w:szCs w:val="32"/>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2019年度部门决算表</w:t>
      </w:r>
    </w:p>
    <w:p>
      <w:pPr>
        <w:jc w:val="center"/>
        <w:rPr>
          <w:rFonts w:ascii="方正小标宋简体" w:eastAsia="方正小标宋简体"/>
          <w:spacing w:val="60"/>
          <w:sz w:val="48"/>
        </w:rPr>
      </w:pPr>
    </w:p>
    <w:p>
      <w:pPr>
        <w:jc w:val="left"/>
        <w:rPr>
          <w:rFonts w:ascii="仿宋_GB2312" w:eastAsia="仿宋_GB2312"/>
          <w:b/>
          <w:color w:val="FF0000"/>
          <w:sz w:val="32"/>
          <w:szCs w:val="32"/>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部门：济宁市兖州区电影发行放映公司                  单位</w:t>
      </w:r>
      <w:r>
        <w:rPr>
          <w:rFonts w:ascii="楷体_GB2312" w:eastAsia="楷体_GB2312"/>
          <w:sz w:val="28"/>
          <w:szCs w:val="28"/>
        </w:rPr>
        <w:t>：</w:t>
      </w:r>
      <w:r>
        <w:rPr>
          <w:rFonts w:hint="eastAsia" w:ascii="楷体_GB2312" w:eastAsia="楷体_GB2312"/>
          <w:sz w:val="28"/>
          <w:szCs w:val="28"/>
        </w:rPr>
        <w:t>万元</w:t>
      </w:r>
    </w:p>
    <w:tbl>
      <w:tblPr>
        <w:tblStyle w:val="10"/>
        <w:tblW w:w="0" w:type="auto"/>
        <w:jc w:val="center"/>
        <w:tblLayout w:type="fixed"/>
        <w:tblCellMar>
          <w:top w:w="0" w:type="dxa"/>
          <w:left w:w="108" w:type="dxa"/>
          <w:bottom w:w="0" w:type="dxa"/>
          <w:right w:w="108" w:type="dxa"/>
        </w:tblCellMar>
      </w:tblPr>
      <w:tblGrid>
        <w:gridCol w:w="2879"/>
        <w:gridCol w:w="714"/>
        <w:gridCol w:w="1017"/>
        <w:gridCol w:w="2466"/>
        <w:gridCol w:w="477"/>
        <w:gridCol w:w="1266"/>
      </w:tblGrid>
      <w:tr>
        <w:tblPrEx>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218.32</w:t>
            </w: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（按功能科目）</w:t>
            </w: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471"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一、一般公共服务支出</w:t>
            </w: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75"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二、外交支出</w:t>
            </w: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97"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三、国防支出</w:t>
            </w: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96"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四、公共安全支出</w:t>
            </w: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473"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五、教育支出</w:t>
            </w: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428"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六、科学技术支出</w:t>
            </w: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44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七、文化旅游体育与传媒支出</w:t>
            </w: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widowControl/>
              <w:jc w:val="center"/>
            </w:pPr>
            <w:r>
              <w:rPr>
                <w:rFonts w:ascii="仿宋_GB2312" w:hAnsi="仿宋_GB2312" w:eastAsia="仿宋_GB2312" w:cs="仿宋_GB2312"/>
                <w:color w:val="000000"/>
                <w:kern w:val="0"/>
                <w:sz w:val="18"/>
                <w:szCs w:val="18"/>
                <w:lang w:bidi="ar"/>
              </w:rPr>
              <w:t>206.06</w:t>
            </w:r>
          </w:p>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44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ascii="仿宋_GB2312" w:eastAsia="仿宋_GB2312"/>
                <w:sz w:val="18"/>
                <w:szCs w:val="18"/>
              </w:rPr>
              <w:t>八、社会保障和就业支出</w:t>
            </w: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widowControl/>
              <w:jc w:val="center"/>
            </w:pPr>
            <w:r>
              <w:rPr>
                <w:rFonts w:ascii="仿宋_GB2312" w:hAnsi="仿宋_GB2312" w:eastAsia="仿宋_GB2312" w:cs="仿宋_GB2312"/>
                <w:color w:val="000000"/>
                <w:kern w:val="0"/>
                <w:sz w:val="18"/>
                <w:szCs w:val="18"/>
                <w:lang w:bidi="ar"/>
              </w:rPr>
              <w:t>12.26</w:t>
            </w:r>
          </w:p>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218.32</w:t>
            </w: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218.32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p>
        </w:tc>
        <w:tc>
          <w:tcPr>
            <w:tcW w:w="2466"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408" w:hRule="exact"/>
          <w:jc w:val="center"/>
        </w:trPr>
        <w:tc>
          <w:tcPr>
            <w:tcW w:w="2879" w:type="dxa"/>
            <w:tcBorders>
              <w:top w:val="nil"/>
              <w:left w:val="single" w:color="auto" w:sz="4" w:space="0"/>
              <w:bottom w:val="single" w:color="auto" w:sz="4" w:space="0"/>
              <w:right w:val="single" w:color="auto" w:sz="4" w:space="0"/>
            </w:tcBorders>
            <w:vAlign w:val="center"/>
          </w:tcPr>
          <w:p>
            <w:pPr>
              <w:widowControl/>
              <w:jc w:val="left"/>
            </w:pPr>
            <w:r>
              <w:rPr>
                <w:rFonts w:ascii="仿宋_GB2312" w:hAnsi="仿宋_GB2312" w:eastAsia="仿宋_GB2312" w:cs="仿宋_GB2312"/>
                <w:color w:val="000000"/>
                <w:kern w:val="0"/>
                <w:sz w:val="18"/>
                <w:szCs w:val="18"/>
                <w:lang w:bidi="ar"/>
              </w:rPr>
              <w:t xml:space="preserve">总计 </w:t>
            </w:r>
          </w:p>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218,32</w:t>
            </w: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218.32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218.32</w:t>
            </w:r>
          </w:p>
        </w:tc>
        <w:tc>
          <w:tcPr>
            <w:tcW w:w="24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47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218.32</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w:t>
      </w:r>
    </w:p>
    <w:p>
      <w:pPr>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28"/>
        </w:rPr>
      </w:pPr>
      <w:r>
        <w:rPr>
          <w:rFonts w:hint="eastAsia" w:ascii="方正小标宋简体" w:eastAsia="方正小标宋简体"/>
          <w:sz w:val="44"/>
          <w:szCs w:val="28"/>
        </w:rPr>
        <w:t>收入决算表</w:t>
      </w:r>
    </w:p>
    <w:p>
      <w:pPr>
        <w:wordWrap w:val="0"/>
        <w:spacing w:line="400" w:lineRule="exact"/>
        <w:jc w:val="center"/>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659" w:firstLine="552" w:firstLineChars="200"/>
        <w:rPr>
          <w:rFonts w:ascii="楷体_GB2312" w:eastAsia="楷体_GB2312"/>
          <w:sz w:val="28"/>
          <w:szCs w:val="28"/>
        </w:rPr>
      </w:pPr>
      <w:r>
        <w:rPr>
          <w:rFonts w:hint="eastAsia" w:ascii="楷体_GB2312" w:eastAsia="楷体_GB2312"/>
          <w:sz w:val="28"/>
          <w:szCs w:val="28"/>
        </w:rPr>
        <w:t xml:space="preserve">部门：济宁市兖州区电影发行放映公司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单位</w:t>
      </w:r>
      <w:r>
        <w:rPr>
          <w:rFonts w:ascii="楷体_GB2312" w:eastAsia="楷体_GB2312"/>
          <w:sz w:val="28"/>
          <w:szCs w:val="28"/>
        </w:rPr>
        <w:t>：万元</w:t>
      </w:r>
    </w:p>
    <w:tbl>
      <w:tblPr>
        <w:tblStyle w:val="10"/>
        <w:tblW w:w="0" w:type="auto"/>
        <w:jc w:val="center"/>
        <w:tblLayout w:type="fixed"/>
        <w:tblCellMar>
          <w:top w:w="0" w:type="dxa"/>
          <w:left w:w="108" w:type="dxa"/>
          <w:bottom w:w="0" w:type="dxa"/>
          <w:right w:w="108" w:type="dxa"/>
        </w:tblCellMar>
      </w:tblPr>
      <w:tblGrid>
        <w:gridCol w:w="1209"/>
        <w:gridCol w:w="103"/>
        <w:gridCol w:w="3135"/>
        <w:gridCol w:w="1269"/>
        <w:gridCol w:w="1134"/>
        <w:gridCol w:w="992"/>
        <w:gridCol w:w="992"/>
        <w:gridCol w:w="851"/>
        <w:gridCol w:w="1431"/>
        <w:gridCol w:w="1560"/>
      </w:tblGrid>
      <w:tr>
        <w:tblPrEx>
          <w:tblCellMar>
            <w:top w:w="0" w:type="dxa"/>
            <w:left w:w="108" w:type="dxa"/>
            <w:bottom w:w="0" w:type="dxa"/>
            <w:right w:w="108" w:type="dxa"/>
          </w:tblCellMar>
        </w:tblPrEx>
        <w:trPr>
          <w:trHeight w:val="303" w:hRule="atLeast"/>
          <w:jc w:val="center"/>
        </w:trPr>
        <w:tc>
          <w:tcPr>
            <w:tcW w:w="44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269"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134"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99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992" w:type="dxa"/>
            <w:vMerge w:val="restart"/>
            <w:tcBorders>
              <w:top w:val="single" w:color="auto" w:sz="4" w:space="0"/>
              <w:left w:val="single" w:color="auto" w:sz="4" w:space="0"/>
              <w:right w:val="single" w:color="auto" w:sz="4" w:space="0"/>
            </w:tcBorders>
            <w:vAlign w:val="center"/>
          </w:tcPr>
          <w:p>
            <w:pPr>
              <w:widowControl/>
              <w:spacing w:line="300" w:lineRule="exact"/>
              <w:ind w:left="206" w:left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85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431"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6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595" w:hRule="atLeast"/>
          <w:jc w:val="center"/>
        </w:trPr>
        <w:tc>
          <w:tcPr>
            <w:tcW w:w="131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31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269"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134"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992"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992"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851"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431"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60"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03" w:hRule="atLeast"/>
          <w:jc w:val="center"/>
        </w:trPr>
        <w:tc>
          <w:tcPr>
            <w:tcW w:w="44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2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498" w:hRule="atLeast"/>
          <w:jc w:val="center"/>
        </w:trPr>
        <w:tc>
          <w:tcPr>
            <w:tcW w:w="444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ind w:firstLine="1080" w:firstLineChars="500"/>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26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4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333" w:hRule="atLeast"/>
          <w:jc w:val="center"/>
        </w:trPr>
        <w:tc>
          <w:tcPr>
            <w:tcW w:w="120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w:t>
            </w:r>
          </w:p>
        </w:tc>
        <w:tc>
          <w:tcPr>
            <w:tcW w:w="323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文化旅游体育与传媒支出</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206,06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206.06</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4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282" w:hRule="atLeast"/>
          <w:jc w:val="center"/>
        </w:trPr>
        <w:tc>
          <w:tcPr>
            <w:tcW w:w="120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20701</w:t>
            </w:r>
          </w:p>
        </w:tc>
        <w:tc>
          <w:tcPr>
            <w:tcW w:w="3238" w:type="dxa"/>
            <w:gridSpan w:val="2"/>
            <w:tcBorders>
              <w:top w:val="nil"/>
              <w:left w:val="nil"/>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文化和旅游</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85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4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0"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2070199</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其他文化和旅游支出</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03"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新闻出版电影</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99.8</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99.8</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03"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2070601</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行政运行</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64.03</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64.03</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03"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2070607</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电影</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35.77</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35.77</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240"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20799</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其他文化体育与传媒支出</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73"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2079999</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其他文化体育与传媒支出</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03"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社会保障和就业支出</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03"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2085</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行政事业单位离退休</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423" w:hRule="atLeast"/>
          <w:jc w:val="center"/>
        </w:trPr>
        <w:tc>
          <w:tcPr>
            <w:tcW w:w="1209"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2080599</w:t>
            </w:r>
          </w:p>
        </w:tc>
        <w:tc>
          <w:tcPr>
            <w:tcW w:w="3238" w:type="dxa"/>
            <w:gridSpan w:val="2"/>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其他行政事业单位离退休支出</w:t>
            </w:r>
          </w:p>
        </w:tc>
        <w:tc>
          <w:tcPr>
            <w:tcW w:w="1269"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85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431"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6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432" w:firstLineChars="200"/>
        <w:rPr>
          <w:rFonts w:ascii="仿宋_GB2312" w:hAnsi="宋体" w:eastAsia="仿宋_GB2312"/>
          <w:sz w:val="22"/>
        </w:rPr>
      </w:pPr>
      <w:r>
        <w:rPr>
          <w:rFonts w:hint="eastAsia" w:ascii="仿宋_GB2312" w:hAnsi="宋体" w:eastAsia="仿宋_GB2312"/>
          <w:sz w:val="22"/>
        </w:rPr>
        <w:t>注：本表反映部门本年度取得的各项收入情况。</w:t>
      </w: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部门：济宁市兖州区电影发行放映公司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单位：万元  </w:t>
      </w:r>
    </w:p>
    <w:tbl>
      <w:tblPr>
        <w:tblStyle w:val="10"/>
        <w:tblW w:w="0" w:type="auto"/>
        <w:jc w:val="center"/>
        <w:tblLayout w:type="fixed"/>
        <w:tblCellMar>
          <w:top w:w="0" w:type="dxa"/>
          <w:left w:w="108" w:type="dxa"/>
          <w:bottom w:w="0" w:type="dxa"/>
          <w:right w:w="108" w:type="dxa"/>
        </w:tblCellMar>
      </w:tblPr>
      <w:tblGrid>
        <w:gridCol w:w="1344"/>
        <w:gridCol w:w="57"/>
        <w:gridCol w:w="3310"/>
        <w:gridCol w:w="1565"/>
        <w:gridCol w:w="1208"/>
        <w:gridCol w:w="966"/>
        <w:gridCol w:w="1652"/>
        <w:gridCol w:w="1513"/>
        <w:gridCol w:w="1763"/>
      </w:tblGrid>
      <w:tr>
        <w:tblPrEx>
          <w:tblCellMar>
            <w:top w:w="0" w:type="dxa"/>
            <w:left w:w="108" w:type="dxa"/>
            <w:bottom w:w="0" w:type="dxa"/>
            <w:right w:w="108" w:type="dxa"/>
          </w:tblCellMar>
        </w:tblPrEx>
        <w:trPr>
          <w:trHeight w:val="237" w:hRule="atLeast"/>
          <w:jc w:val="center"/>
        </w:trPr>
        <w:tc>
          <w:tcPr>
            <w:tcW w:w="47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6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20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96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65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51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CellMar>
            <w:top w:w="0" w:type="dxa"/>
            <w:left w:w="108" w:type="dxa"/>
            <w:bottom w:w="0" w:type="dxa"/>
            <w:right w:w="108" w:type="dxa"/>
          </w:tblCellMar>
        </w:tblPrEx>
        <w:trPr>
          <w:trHeight w:val="497"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33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565"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208"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9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5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47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56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20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96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5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06" w:hRule="atLeast"/>
          <w:jc w:val="center"/>
        </w:trPr>
        <w:tc>
          <w:tcPr>
            <w:tcW w:w="47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56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w:t>
            </w:r>
          </w:p>
        </w:tc>
        <w:tc>
          <w:tcPr>
            <w:tcW w:w="120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w:t>
            </w:r>
          </w:p>
        </w:tc>
        <w:tc>
          <w:tcPr>
            <w:tcW w:w="96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5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w:t>
            </w:r>
          </w:p>
        </w:tc>
        <w:tc>
          <w:tcPr>
            <w:tcW w:w="336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文化旅游体育与传媒支出</w:t>
            </w:r>
          </w:p>
        </w:tc>
        <w:tc>
          <w:tcPr>
            <w:tcW w:w="1565" w:type="dxa"/>
            <w:tcBorders>
              <w:top w:val="single" w:color="auto" w:sz="4" w:space="0"/>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206.06</w:t>
            </w:r>
          </w:p>
        </w:tc>
        <w:tc>
          <w:tcPr>
            <w:tcW w:w="1208" w:type="dxa"/>
            <w:tcBorders>
              <w:top w:val="single" w:color="auto" w:sz="4" w:space="0"/>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206.06</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52"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20701</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文化和旅游</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4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2070199</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其他文化和旅游支出</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ind w:right="90"/>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280"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新闻出版电影</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99.8</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99.8</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2070601</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行政运行</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64.03</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64.03</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378"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2070607</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电影</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35.77</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35.77</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29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20799</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其他文化体育与传媒支出</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w:t>
            </w:r>
            <w:r>
              <w:rPr>
                <w:rFonts w:ascii="仿宋_GB2312" w:hAnsi="宋体" w:eastAsia="仿宋_GB2312" w:cs="宋体"/>
                <w:kern w:val="0"/>
                <w:sz w:val="22"/>
              </w:rPr>
              <w:t>.</w:t>
            </w:r>
            <w:r>
              <w:rPr>
                <w:rFonts w:hint="eastAsia" w:ascii="仿宋_GB2312" w:hAnsi="宋体" w:eastAsia="仿宋_GB2312" w:cs="宋体"/>
                <w:kern w:val="0"/>
                <w:sz w:val="22"/>
              </w:rPr>
              <w:t>26</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15"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2079999</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其他文化体育与传媒支出</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社会保障和就业支出</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2085</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行政事业单位离退休</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2080599</w:t>
            </w:r>
          </w:p>
        </w:tc>
        <w:tc>
          <w:tcPr>
            <w:tcW w:w="3367"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其他行政事业单位离退休支出</w:t>
            </w:r>
          </w:p>
        </w:tc>
        <w:tc>
          <w:tcPr>
            <w:tcW w:w="1565" w:type="dxa"/>
            <w:tcBorders>
              <w:top w:val="nil"/>
              <w:left w:val="nil"/>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1208" w:type="dxa"/>
            <w:tcBorders>
              <w:top w:val="nil"/>
              <w:left w:val="single" w:color="auto" w:sz="4" w:space="0"/>
              <w:bottom w:val="single" w:color="auto" w:sz="4" w:space="0"/>
              <w:right w:val="nil"/>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966"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5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注：本表反映部门本年度各项支出情况。</w:t>
      </w: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 xml:space="preserve">部门：济宁市兖州区电影发行放映公司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4"/>
        <w:gridCol w:w="500"/>
        <w:gridCol w:w="1326"/>
        <w:gridCol w:w="2922"/>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4780"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561"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3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218.32　</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七、</w:t>
            </w:r>
            <w:r>
              <w:rPr>
                <w:rFonts w:ascii="仿宋_GB2312" w:hAnsi="仿宋_GB2312" w:eastAsia="仿宋_GB2312" w:cs="仿宋_GB2312"/>
                <w:color w:val="000000"/>
                <w:kern w:val="0"/>
                <w:szCs w:val="21"/>
                <w:lang w:bidi="ar"/>
              </w:rPr>
              <w:t>文化旅游体育与传媒支出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206.06</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206.06</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p>
        </w:tc>
        <w:tc>
          <w:tcPr>
            <w:tcW w:w="2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八、社会保障和就业支出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218.32　</w:t>
            </w:r>
          </w:p>
        </w:tc>
        <w:tc>
          <w:tcPr>
            <w:tcW w:w="2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2954"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2954"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954"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218.32　</w:t>
            </w:r>
          </w:p>
        </w:tc>
        <w:tc>
          <w:tcPr>
            <w:tcW w:w="29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bl>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ind w:right="414"/>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部门：济宁市兖州区电影发行放映公司                                            </w:t>
      </w:r>
      <w:r>
        <w:rPr>
          <w:rFonts w:ascii="楷体_GB2312" w:eastAsia="楷体_GB2312"/>
          <w:sz w:val="28"/>
          <w:szCs w:val="28"/>
        </w:rPr>
        <w:t xml:space="preserve">     </w:t>
      </w:r>
      <w:r>
        <w:rPr>
          <w:rFonts w:hint="eastAsia" w:ascii="楷体_GB2312" w:eastAsia="楷体_GB2312"/>
          <w:sz w:val="28"/>
          <w:szCs w:val="28"/>
        </w:rPr>
        <w:t xml:space="preserve">单位:万元   </w:t>
      </w:r>
    </w:p>
    <w:tbl>
      <w:tblPr>
        <w:tblStyle w:val="10"/>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237"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59"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272"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CellMar>
            <w:top w:w="0" w:type="dxa"/>
            <w:left w:w="108" w:type="dxa"/>
            <w:bottom w:w="0" w:type="dxa"/>
            <w:right w:w="108" w:type="dxa"/>
          </w:tblCellMar>
        </w:tblPrEx>
        <w:trPr>
          <w:trHeight w:val="432"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218.32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26"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w:t>
            </w:r>
          </w:p>
        </w:tc>
        <w:tc>
          <w:tcPr>
            <w:tcW w:w="3170" w:type="dxa"/>
            <w:tcBorders>
              <w:top w:val="nil"/>
              <w:left w:val="nil"/>
              <w:bottom w:val="single" w:color="auto" w:sz="4" w:space="0"/>
              <w:right w:val="single" w:color="auto" w:sz="4" w:space="0"/>
            </w:tcBorders>
            <w:vAlign w:val="center"/>
          </w:tcPr>
          <w:p>
            <w:pPr>
              <w:widowControl/>
              <w:spacing w:line="300" w:lineRule="exact"/>
              <w:ind w:firstLine="335"/>
              <w:jc w:val="center"/>
              <w:rPr>
                <w:rFonts w:ascii="仿宋_GB2312" w:hAnsi="宋体" w:eastAsia="仿宋_GB2312" w:cs="宋体"/>
                <w:kern w:val="0"/>
                <w:sz w:val="22"/>
              </w:rPr>
            </w:pPr>
            <w:r>
              <w:rPr>
                <w:rFonts w:hint="eastAsia" w:ascii="仿宋_GB2312" w:hAnsi="宋体" w:eastAsia="仿宋_GB2312" w:cs="宋体"/>
                <w:kern w:val="0"/>
                <w:sz w:val="22"/>
              </w:rPr>
              <w:t>文化旅游体育与传媒支出</w:t>
            </w:r>
          </w:p>
        </w:tc>
        <w:tc>
          <w:tcPr>
            <w:tcW w:w="278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206.06</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206.06</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17"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20701</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文化和旅游</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22"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2070199</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其他文化和旅游支出</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50</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86"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新闻出版电影</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99.8</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99.8</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63"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2070601</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行政运行</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64.03</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64.03</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27"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2070607</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电影</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35.77</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35.77</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29"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20799</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其他文化体育与传媒支出</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w:t>
            </w:r>
            <w:r>
              <w:rPr>
                <w:rFonts w:ascii="仿宋_GB2312" w:hAnsi="宋体" w:eastAsia="仿宋_GB2312" w:cs="宋体"/>
                <w:kern w:val="0"/>
                <w:sz w:val="22"/>
              </w:rPr>
              <w:t>.</w:t>
            </w:r>
            <w:r>
              <w:rPr>
                <w:rFonts w:hint="eastAsia" w:ascii="仿宋_GB2312" w:hAnsi="宋体" w:eastAsia="仿宋_GB2312" w:cs="宋体"/>
                <w:kern w:val="0"/>
                <w:sz w:val="22"/>
              </w:rPr>
              <w:t>26</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43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2079999</w:t>
            </w:r>
          </w:p>
        </w:tc>
        <w:tc>
          <w:tcPr>
            <w:tcW w:w="317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其他文化体育与传媒支出</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56.26</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w:t>
            </w:r>
          </w:p>
        </w:tc>
        <w:tc>
          <w:tcPr>
            <w:tcW w:w="3170" w:type="dxa"/>
            <w:tcBorders>
              <w:top w:val="nil"/>
              <w:left w:val="nil"/>
              <w:bottom w:val="single" w:color="000000"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社会保障和就业支出</w:t>
            </w:r>
          </w:p>
        </w:tc>
        <w:tc>
          <w:tcPr>
            <w:tcW w:w="2783" w:type="dxa"/>
            <w:tcBorders>
              <w:top w:val="nil"/>
              <w:left w:val="nil"/>
              <w:bottom w:val="single" w:color="000000"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2978" w:type="dxa"/>
            <w:tcBorders>
              <w:top w:val="nil"/>
              <w:left w:val="nil"/>
              <w:bottom w:val="single" w:color="000000"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2520" w:type="dxa"/>
            <w:tcBorders>
              <w:top w:val="nil"/>
              <w:left w:val="nil"/>
              <w:bottom w:val="single" w:color="000000"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2" w:hRule="exact"/>
          <w:jc w:val="center"/>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w:t>
            </w:r>
            <w:r>
              <w:rPr>
                <w:rFonts w:ascii="仿宋_GB2312" w:hAnsi="宋体" w:eastAsia="仿宋_GB2312" w:cs="宋体"/>
                <w:kern w:val="0"/>
                <w:sz w:val="22"/>
              </w:rPr>
              <w:t>0</w:t>
            </w:r>
            <w:r>
              <w:rPr>
                <w:rFonts w:hint="eastAsia" w:ascii="仿宋_GB2312" w:hAnsi="宋体" w:eastAsia="仿宋_GB2312" w:cs="宋体"/>
                <w:kern w:val="0"/>
                <w:sz w:val="22"/>
              </w:rPr>
              <w:t>5</w:t>
            </w:r>
          </w:p>
        </w:tc>
        <w:tc>
          <w:tcPr>
            <w:tcW w:w="31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行政事业单位离退休</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29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2520"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exact"/>
          <w:jc w:val="center"/>
        </w:trPr>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2080599</w:t>
            </w:r>
          </w:p>
        </w:tc>
        <w:tc>
          <w:tcPr>
            <w:tcW w:w="31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其他行政事业单位离退休支出</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29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12.26</w:t>
            </w:r>
          </w:p>
        </w:tc>
        <w:tc>
          <w:tcPr>
            <w:tcW w:w="2520" w:type="dxa"/>
            <w:tcBorders>
              <w:top w:val="single" w:color="000000" w:sz="4" w:space="0"/>
              <w:left w:val="single" w:color="000000" w:sz="4" w:space="0"/>
              <w:bottom w:val="single" w:color="000000" w:sz="4" w:space="0"/>
              <w:right w:val="single" w:color="000000" w:sz="4" w:space="0"/>
            </w:tcBorders>
          </w:tcPr>
          <w:p>
            <w:pPr>
              <w:widowControl/>
              <w:spacing w:line="300" w:lineRule="exact"/>
              <w:jc w:val="left"/>
              <w:rPr>
                <w:rFonts w:ascii="仿宋_GB2312" w:hAnsi="宋体" w:eastAsia="仿宋_GB2312" w:cs="宋体"/>
                <w:kern w:val="0"/>
                <w:sz w:val="22"/>
              </w:rPr>
            </w:pPr>
          </w:p>
        </w:tc>
      </w:tr>
    </w:tbl>
    <w:p>
      <w:pPr>
        <w:spacing w:line="400" w:lineRule="exact"/>
        <w:ind w:firstLine="216" w:firstLineChars="10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 xml:space="preserve">部门：济宁市兖州区电影发行放映公司                                                     单位：万元 </w:t>
      </w:r>
      <w:r>
        <w:rPr>
          <w:rFonts w:ascii="楷体_GB2312" w:eastAsia="楷体_GB2312"/>
          <w:sz w:val="28"/>
          <w:szCs w:val="28"/>
        </w:rPr>
        <w:t xml:space="preserve"> </w:t>
      </w:r>
      <w:r>
        <w:rPr>
          <w:rFonts w:hint="eastAsia" w:ascii="楷体_GB2312" w:eastAsia="楷体_GB2312"/>
          <w:sz w:val="28"/>
          <w:szCs w:val="28"/>
        </w:rPr>
        <w:t xml:space="preserve">                     </w:t>
      </w:r>
    </w:p>
    <w:tbl>
      <w:tblPr>
        <w:tblStyle w:val="10"/>
        <w:tblW w:w="0" w:type="auto"/>
        <w:jc w:val="center"/>
        <w:tblLayout w:type="fixed"/>
        <w:tblCellMar>
          <w:top w:w="0" w:type="dxa"/>
          <w:left w:w="108" w:type="dxa"/>
          <w:bottom w:w="0" w:type="dxa"/>
          <w:right w:w="108" w:type="dxa"/>
        </w:tblCellMar>
      </w:tblPr>
      <w:tblGrid>
        <w:gridCol w:w="1008"/>
        <w:gridCol w:w="3023"/>
        <w:gridCol w:w="847"/>
        <w:gridCol w:w="1138"/>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64.03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59.08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64.03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9.0</w:t>
            </w:r>
            <w:r>
              <w:rPr>
                <w:rFonts w:ascii="仿宋_GB2312" w:hAnsi="宋体" w:eastAsia="仿宋_GB2312" w:cs="宋体"/>
                <w:color w:val="000000"/>
                <w:kern w:val="0"/>
                <w:sz w:val="20"/>
                <w:szCs w:val="20"/>
              </w:rPr>
              <w:t>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95.21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12.26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82.95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159.24</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59.08</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 xml:space="preserve">部门：济宁市兖州区电影发行放映公司                                                </w:t>
      </w:r>
      <w:r>
        <w:rPr>
          <w:rFonts w:ascii="楷体_GB2312" w:eastAsia="楷体_GB2312"/>
          <w:sz w:val="28"/>
          <w:szCs w:val="28"/>
        </w:rPr>
        <w:t xml:space="preserve">    </w:t>
      </w:r>
      <w:r>
        <w:rPr>
          <w:rFonts w:hint="eastAsia" w:ascii="楷体_GB2312" w:eastAsia="楷体_GB2312"/>
          <w:sz w:val="28"/>
          <w:szCs w:val="28"/>
        </w:rPr>
        <w:t xml:space="preserve">单位：万元          </w:t>
      </w:r>
      <w:r>
        <w:rPr>
          <w:rFonts w:ascii="楷体_GB2312" w:eastAsia="楷体_GB2312"/>
          <w:sz w:val="28"/>
          <w:szCs w:val="28"/>
        </w:rPr>
        <w:t xml:space="preserve"> </w:t>
      </w:r>
      <w:r>
        <w:rPr>
          <w:rFonts w:hint="eastAsia" w:ascii="楷体_GB2312" w:eastAsia="楷体_GB2312"/>
          <w:sz w:val="28"/>
          <w:szCs w:val="28"/>
        </w:rPr>
        <w:t xml:space="preserve">                     </w:t>
      </w:r>
    </w:p>
    <w:tbl>
      <w:tblPr>
        <w:tblStyle w:val="10"/>
        <w:tblW w:w="0" w:type="auto"/>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80" w:type="dxa"/>
            <w:tcBorders>
              <w:top w:val="nil"/>
              <w:left w:val="nil"/>
              <w:bottom w:val="single" w:color="auto" w:sz="8" w:space="0"/>
              <w:right w:val="single" w:color="auto" w:sz="4" w:space="0"/>
            </w:tcBorders>
            <w:shd w:val="clear" w:color="auto" w:fill="auto"/>
            <w:vAlign w:val="center"/>
          </w:tcPr>
          <w:p>
            <w:pPr>
              <w:widowControl/>
              <w:tabs>
                <w:tab w:val="left" w:pos="598"/>
              </w:tabs>
              <w:spacing w:line="300" w:lineRule="exact"/>
              <w:jc w:val="left"/>
              <w:rPr>
                <w:rFonts w:ascii="仿宋_GB2312" w:hAnsi="宋体" w:eastAsia="仿宋_GB2312" w:cs="宋体"/>
                <w:kern w:val="0"/>
                <w:sz w:val="22"/>
              </w:rPr>
            </w:pP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tabs>
          <w:tab w:val="left" w:pos="1218"/>
        </w:tabs>
        <w:spacing w:line="360" w:lineRule="exact"/>
        <w:ind w:firstLine="108" w:firstLineChars="50"/>
        <w:rPr>
          <w:rFonts w:ascii="仿宋_GB2312" w:hAnsi="宋体" w:eastAsia="仿宋_GB2312"/>
          <w:sz w:val="22"/>
        </w:rPr>
      </w:pPr>
      <w:r>
        <w:rPr>
          <w:rFonts w:hint="eastAsia" w:ascii="仿宋_GB2312" w:hAnsi="宋体" w:eastAsia="仿宋_GB2312"/>
          <w:sz w:val="22"/>
        </w:rPr>
        <w:t>注：本单位无一般公共预算安排“三公”经费支出，故本表无数据。</w:t>
      </w:r>
    </w:p>
    <w:p>
      <w:pP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ind w:right="414"/>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 xml:space="preserve">部门：济宁市兖州区电影发行放映公司                                                  单位：万元                        </w:t>
      </w:r>
    </w:p>
    <w:tbl>
      <w:tblPr>
        <w:tblStyle w:val="10"/>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注：本部门没有政府性基金收入，也没有使用政府性基金安排的支出，故本表无数据。</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pPr>
      <w:r>
        <w:rPr>
          <w:rFonts w:hint="eastAsia" w:ascii="方正小标宋简体" w:eastAsia="方正小标宋简体"/>
          <w:spacing w:val="60"/>
          <w:sz w:val="48"/>
        </w:rPr>
        <w:t>2019年度部门决算情况说明</w:t>
      </w: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rPr>
          <w:rFonts w:ascii="方正小标宋简体" w:eastAsia="方正小标宋简体"/>
          <w:spacing w:val="60"/>
          <w:sz w:val="48"/>
        </w:rPr>
      </w:pPr>
    </w:p>
    <w:p>
      <w:pPr>
        <w:ind w:firstLine="632"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32" w:firstLineChars="200"/>
        <w:rPr>
          <w:rFonts w:ascii="仿宋_GB2312" w:eastAsia="仿宋_GB2312"/>
          <w:bCs/>
          <w:color w:val="000000" w:themeColor="text1"/>
          <w:sz w:val="32"/>
          <w:szCs w:val="32"/>
        </w:rPr>
      </w:pPr>
      <w:r>
        <w:rPr>
          <w:rFonts w:hint="eastAsia" w:ascii="仿宋_GB2312" w:eastAsia="仿宋_GB2312"/>
          <w:sz w:val="32"/>
          <w:szCs w:val="32"/>
        </w:rPr>
        <w:t>2019年度收、支总计 218.32万元。与2018年相比，收、支总计各增加44.80万元，增长25.82%。主要是增加</w:t>
      </w:r>
      <w:r>
        <w:rPr>
          <w:rFonts w:hint="eastAsia" w:ascii="仿宋_GB2312" w:eastAsia="仿宋_GB2312"/>
          <w:bCs/>
          <w:color w:val="000000" w:themeColor="text1"/>
          <w:sz w:val="32"/>
          <w:szCs w:val="32"/>
        </w:rPr>
        <w:t>退休人员独生子女费、取暖费、遗属费。</w:t>
      </w:r>
    </w:p>
    <w:p>
      <w:pPr>
        <w:ind w:firstLine="632" w:firstLineChars="200"/>
        <w:rPr>
          <w:rFonts w:ascii="仿宋_GB2312" w:eastAsia="仿宋_GB2312"/>
          <w:sz w:val="32"/>
          <w:szCs w:val="32"/>
        </w:rPr>
      </w:pPr>
      <w:r>
        <w:rPr>
          <w:rFonts w:hint="eastAsia" w:ascii="仿宋_GB2312" w:eastAsia="仿宋_GB2312"/>
          <w:sz w:val="32"/>
          <w:szCs w:val="32"/>
        </w:rPr>
        <w:drawing>
          <wp:inline distT="0" distB="0" distL="0" distR="0">
            <wp:extent cx="5486400" cy="32004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32" w:firstLineChars="200"/>
        <w:rPr>
          <w:rFonts w:ascii="黑体" w:hAnsi="黑体" w:eastAsia="黑体"/>
          <w:sz w:val="32"/>
          <w:szCs w:val="32"/>
        </w:rPr>
      </w:pPr>
      <w:r>
        <w:rPr>
          <w:rFonts w:hint="eastAsia" w:ascii="黑体" w:hAnsi="黑体" w:eastAsia="黑体"/>
          <w:sz w:val="32"/>
          <w:szCs w:val="32"/>
        </w:rPr>
        <w:t>二、收入决算情况说明</w:t>
      </w:r>
    </w:p>
    <w:p>
      <w:pPr>
        <w:ind w:firstLine="632" w:firstLineChars="200"/>
        <w:rPr>
          <w:rFonts w:ascii="仿宋_GB2312" w:eastAsia="仿宋_GB2312"/>
          <w:sz w:val="32"/>
          <w:szCs w:val="32"/>
        </w:rPr>
      </w:pPr>
      <w:r>
        <w:rPr>
          <w:rFonts w:hint="eastAsia" w:ascii="仿宋_GB2312" w:eastAsia="仿宋_GB2312"/>
          <w:sz w:val="32"/>
          <w:szCs w:val="32"/>
        </w:rPr>
        <w:t>本年收入合计218.32万元，其中：财政拨款收入218.32万元，占100%。</w:t>
      </w:r>
    </w:p>
    <w:p>
      <w:pPr>
        <w:ind w:firstLine="632" w:firstLineChars="200"/>
        <w:jc w:val="center"/>
        <w:rPr>
          <w:rFonts w:ascii="仿宋_GB2312" w:eastAsia="仿宋_GB2312"/>
          <w:sz w:val="32"/>
          <w:szCs w:val="32"/>
        </w:rPr>
      </w:pPr>
      <w:r>
        <w:rPr>
          <w:rFonts w:hint="eastAsia" w:ascii="仿宋_GB2312" w:eastAsia="仿宋_GB2312"/>
          <w:sz w:val="32"/>
          <w:szCs w:val="32"/>
        </w:rPr>
        <w:drawing>
          <wp:inline distT="0" distB="0" distL="0" distR="0">
            <wp:extent cx="3200400" cy="201168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32" w:firstLineChars="200"/>
        <w:rPr>
          <w:rFonts w:ascii="黑体" w:hAnsi="黑体" w:eastAsia="黑体"/>
          <w:sz w:val="32"/>
          <w:szCs w:val="32"/>
        </w:rPr>
      </w:pPr>
      <w:r>
        <w:rPr>
          <w:rFonts w:hint="eastAsia" w:ascii="黑体" w:hAnsi="黑体" w:eastAsia="黑体"/>
          <w:sz w:val="32"/>
          <w:szCs w:val="32"/>
        </w:rPr>
        <w:t>三、支出决算情况说明</w:t>
      </w:r>
    </w:p>
    <w:p>
      <w:pPr>
        <w:ind w:firstLine="632" w:firstLineChars="200"/>
        <w:rPr>
          <w:rFonts w:ascii="仿宋_GB2312" w:eastAsia="仿宋_GB2312"/>
          <w:sz w:val="32"/>
          <w:szCs w:val="32"/>
        </w:rPr>
      </w:pPr>
      <w:r>
        <w:rPr>
          <w:rFonts w:hint="eastAsia" w:ascii="仿宋_GB2312" w:eastAsia="仿宋_GB2312"/>
          <w:sz w:val="32"/>
          <w:szCs w:val="32"/>
        </w:rPr>
        <w:t>本年支出合计218.32万元，其中：基本支出218.32万元，占100%。</w:t>
      </w:r>
    </w:p>
    <w:p>
      <w:pPr>
        <w:ind w:firstLine="632" w:firstLineChars="200"/>
        <w:jc w:val="center"/>
        <w:rPr>
          <w:rFonts w:ascii="仿宋_GB2312" w:eastAsia="仿宋_GB2312"/>
          <w:sz w:val="32"/>
          <w:szCs w:val="32"/>
        </w:rPr>
      </w:pPr>
      <w:r>
        <w:rPr>
          <w:rFonts w:hint="eastAsia" w:ascii="仿宋_GB2312" w:eastAsia="仿宋_GB2312"/>
          <w:sz w:val="32"/>
          <w:szCs w:val="32"/>
        </w:rPr>
        <w:drawing>
          <wp:inline distT="0" distB="0" distL="0" distR="0">
            <wp:extent cx="2872740" cy="21717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32" w:firstLineChars="200"/>
        <w:rPr>
          <w:rFonts w:ascii="黑体" w:hAnsi="黑体" w:eastAsia="黑体"/>
          <w:sz w:val="32"/>
          <w:szCs w:val="32"/>
        </w:rPr>
      </w:pPr>
      <w:r>
        <w:rPr>
          <w:rFonts w:hint="eastAsia" w:ascii="仿宋_GB2312" w:eastAsia="仿宋_GB2312"/>
          <w:b/>
          <w:sz w:val="32"/>
          <w:szCs w:val="32"/>
        </w:rPr>
        <w:t xml:space="preserve"> </w:t>
      </w:r>
      <w:r>
        <w:rPr>
          <w:rFonts w:hint="eastAsia" w:ascii="黑体" w:hAnsi="黑体" w:eastAsia="黑体"/>
          <w:sz w:val="32"/>
          <w:szCs w:val="32"/>
        </w:rPr>
        <w:t>四、财政拨款收入支出决算总体情况说明</w:t>
      </w:r>
    </w:p>
    <w:p>
      <w:pPr>
        <w:ind w:firstLine="632" w:firstLineChars="200"/>
        <w:rPr>
          <w:rFonts w:ascii="仿宋_GB2312" w:eastAsia="仿宋_GB2312"/>
          <w:bCs/>
          <w:color w:val="000000" w:themeColor="text1"/>
          <w:sz w:val="32"/>
          <w:szCs w:val="32"/>
        </w:rPr>
      </w:pPr>
      <w:r>
        <w:rPr>
          <w:rFonts w:hint="eastAsia" w:ascii="仿宋_GB2312" w:eastAsia="仿宋_GB2312"/>
          <w:color w:val="000000" w:themeColor="text1"/>
          <w:sz w:val="32"/>
          <w:szCs w:val="32"/>
        </w:rPr>
        <w:t>2019年度财政拨款收、支总计436.64万元。与2018年相比，财政拨款收、支总计各增加44.8万元，增长25.82%。主要是增加</w:t>
      </w:r>
      <w:r>
        <w:rPr>
          <w:rFonts w:hint="eastAsia" w:ascii="仿宋_GB2312" w:eastAsia="仿宋_GB2312"/>
          <w:bCs/>
          <w:color w:val="000000" w:themeColor="text1"/>
          <w:sz w:val="32"/>
          <w:szCs w:val="32"/>
        </w:rPr>
        <w:t>独生子女费、取暖费、遗属费。</w:t>
      </w:r>
    </w:p>
    <w:p>
      <w:pPr>
        <w:ind w:firstLine="632" w:firstLineChars="200"/>
        <w:jc w:val="center"/>
        <w:rPr>
          <w:rFonts w:ascii="仿宋_GB2312" w:eastAsia="仿宋_GB2312"/>
          <w:color w:val="000000" w:themeColor="text1"/>
          <w:sz w:val="32"/>
          <w:szCs w:val="32"/>
        </w:rPr>
      </w:pPr>
      <w:r>
        <w:rPr>
          <w:rFonts w:hint="eastAsia" w:ascii="仿宋_GB2312" w:eastAsia="仿宋_GB2312"/>
          <w:color w:val="000000" w:themeColor="text1"/>
          <w:sz w:val="32"/>
          <w:szCs w:val="32"/>
        </w:rPr>
        <w:drawing>
          <wp:inline distT="0" distB="0" distL="0" distR="0">
            <wp:extent cx="3863340" cy="233172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32"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32"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32" w:firstLineChars="200"/>
        <w:jc w:val="left"/>
        <w:rPr>
          <w:rFonts w:ascii="仿宋_GB2312" w:eastAsia="仿宋_GB2312"/>
          <w:sz w:val="32"/>
          <w:szCs w:val="32"/>
        </w:rPr>
      </w:pPr>
      <w:r>
        <w:rPr>
          <w:rFonts w:hint="eastAsia" w:ascii="仿宋_GB2312" w:eastAsia="仿宋_GB2312"/>
          <w:sz w:val="32"/>
          <w:szCs w:val="32"/>
        </w:rPr>
        <w:t>2019年度一般公共预算财政拨款支出218.32万元，占本年支出合计的100%。与2018年相比，一般公共预算财政拨款支出增加44.</w:t>
      </w:r>
      <w:bookmarkStart w:id="0" w:name="_GoBack"/>
      <w:bookmarkEnd w:id="0"/>
      <w:r>
        <w:rPr>
          <w:rFonts w:hint="eastAsia" w:ascii="仿宋_GB2312" w:eastAsia="仿宋_GB2312"/>
          <w:sz w:val="32"/>
          <w:szCs w:val="32"/>
        </w:rPr>
        <w:t>8万元，增长25.82%。主要是增加独生子女费、取暖费、遗属费。</w:t>
      </w:r>
    </w:p>
    <w:p>
      <w:pPr>
        <w:ind w:firstLine="632" w:firstLineChars="200"/>
        <w:jc w:val="center"/>
        <w:rPr>
          <w:rFonts w:ascii="仿宋_GB2312" w:eastAsia="仿宋_GB2312"/>
          <w:sz w:val="32"/>
          <w:szCs w:val="32"/>
        </w:rPr>
      </w:pPr>
      <w:r>
        <w:rPr>
          <w:rFonts w:hint="eastAsia" w:ascii="仿宋_GB2312" w:eastAsia="仿宋_GB2312"/>
          <w:sz w:val="32"/>
          <w:szCs w:val="32"/>
        </w:rPr>
        <w:drawing>
          <wp:inline distT="0" distB="0" distL="0" distR="0">
            <wp:extent cx="4023360" cy="24003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32"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32" w:firstLineChars="200"/>
        <w:rPr>
          <w:rFonts w:ascii="仿宋_GB2312" w:eastAsia="仿宋_GB2312"/>
          <w:sz w:val="32"/>
          <w:szCs w:val="32"/>
        </w:rPr>
      </w:pPr>
      <w:r>
        <w:rPr>
          <w:rFonts w:hint="eastAsia" w:ascii="仿宋_GB2312" w:eastAsia="仿宋_GB2312"/>
          <w:sz w:val="32"/>
          <w:szCs w:val="32"/>
        </w:rPr>
        <w:t>2019年度一般公共预算财政拨款支出218.32万元，主要用于以下方面：文化旅游体育与传媒（类）支出206.06万元，占94.38%；社会保障和就业（类）支出12.26万元，占5.62%。</w:t>
      </w:r>
    </w:p>
    <w:p>
      <w:pPr>
        <w:ind w:firstLine="632" w:firstLineChars="200"/>
        <w:jc w:val="center"/>
        <w:rPr>
          <w:rFonts w:ascii="仿宋_GB2312" w:eastAsia="仿宋_GB2312"/>
          <w:b/>
          <w:color w:val="FF0000"/>
          <w:sz w:val="32"/>
          <w:szCs w:val="32"/>
        </w:rPr>
      </w:pPr>
      <w:r>
        <w:rPr>
          <w:rFonts w:hint="eastAsia" w:ascii="仿宋_GB2312" w:eastAsia="仿宋_GB2312"/>
          <w:b/>
          <w:color w:val="FF0000"/>
          <w:sz w:val="32"/>
          <w:szCs w:val="32"/>
        </w:rPr>
        <w:drawing>
          <wp:inline distT="0" distB="0" distL="0" distR="0">
            <wp:extent cx="3345180" cy="192786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32"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32" w:firstLineChars="200"/>
        <w:rPr>
          <w:rFonts w:ascii="仿宋_GB2312" w:eastAsia="仿宋_GB2312"/>
          <w:sz w:val="32"/>
          <w:szCs w:val="32"/>
        </w:rPr>
      </w:pPr>
      <w:r>
        <w:rPr>
          <w:rFonts w:hint="eastAsia" w:ascii="仿宋_GB2312" w:eastAsia="仿宋_GB2312"/>
          <w:sz w:val="32"/>
          <w:szCs w:val="32"/>
        </w:rPr>
        <w:t>2019年度一般公共预算财政拨款支出年初预算为94.96万元，支出决算为218.32万元，完成年初预算的</w:t>
      </w:r>
      <w:r>
        <w:rPr>
          <w:rFonts w:ascii="仿宋_GB2312" w:eastAsia="仿宋_GB2312"/>
          <w:sz w:val="32"/>
          <w:szCs w:val="32"/>
        </w:rPr>
        <w:t>229.9</w:t>
      </w:r>
      <w:r>
        <w:rPr>
          <w:rFonts w:hint="eastAsia" w:ascii="仿宋_GB2312" w:eastAsia="仿宋_GB2312"/>
          <w:sz w:val="32"/>
          <w:szCs w:val="32"/>
        </w:rPr>
        <w:t>%。决算数大于年初预算数的主要原因增加独生子女费、取暖费、遗属费。</w:t>
      </w:r>
    </w:p>
    <w:p>
      <w:pPr>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文化旅游体育与传媒（类）文化和旅游（款）其他文化和旅游支出（项）、其他文化体育与传媒支出（款）其他文化体育与传媒支出（项）、新闻出版电影（款）行政运行（项）和电影（项）。主要反映用于放映人员补助、养老保险金缴纳、遗属费等支出。年初预算为94.96万元，支出决算为206.06万元，完成年初预算的217.0%。决算数大于年初预算数主要原因是增加退休人员独生子女费、取暖费、遗属费等。</w:t>
      </w:r>
    </w:p>
    <w:p>
      <w:pPr>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2、社会保障和就业支出（类）行政事业单位离退休（款） 其他行政事业单位离退休支出（项）。主要用于离休人员工资支出。年初预算为0万元，支出决算为12.26万元，决算数大于年初预算数主要原因是增加退休人员独生子女费、取暖费、遗属费等。</w:t>
      </w:r>
    </w:p>
    <w:p>
      <w:pPr>
        <w:ind w:firstLine="632"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32" w:firstLineChars="200"/>
        <w:rPr>
          <w:rFonts w:ascii="仿宋_GB2312" w:eastAsia="仿宋_GB2312"/>
          <w:sz w:val="32"/>
          <w:szCs w:val="32"/>
        </w:rPr>
      </w:pPr>
      <w:r>
        <w:rPr>
          <w:rFonts w:hint="eastAsia" w:ascii="仿宋_GB2312" w:eastAsia="仿宋_GB2312"/>
          <w:sz w:val="32"/>
          <w:szCs w:val="32"/>
        </w:rPr>
        <w:t>2019年度一般公共预算财政拨款基本支出决算218.32万元，包括人员经费和公用经费，支出具体情况如下：</w:t>
      </w:r>
    </w:p>
    <w:p>
      <w:pPr>
        <w:ind w:firstLine="632" w:firstLineChars="200"/>
        <w:rPr>
          <w:rFonts w:ascii="仿宋_GB2312" w:eastAsia="仿宋_GB2312"/>
          <w:sz w:val="32"/>
          <w:szCs w:val="32"/>
        </w:rPr>
      </w:pPr>
      <w:r>
        <w:rPr>
          <w:rFonts w:hint="eastAsia" w:ascii="仿宋_GB2312" w:eastAsia="仿宋_GB2312"/>
          <w:sz w:val="32"/>
          <w:szCs w:val="32"/>
        </w:rPr>
        <w:t>人员经费218.32万元，主要包括：机关事业单位基本养老保险缴费、抚恤金、生活</w:t>
      </w:r>
      <w:r>
        <w:rPr>
          <w:rFonts w:ascii="仿宋_GB2312" w:eastAsia="仿宋_GB2312"/>
          <w:sz w:val="32"/>
          <w:szCs w:val="32"/>
        </w:rPr>
        <w:t>补助</w:t>
      </w:r>
      <w:r>
        <w:rPr>
          <w:rFonts w:hint="eastAsia" w:ascii="仿宋_GB2312" w:eastAsia="仿宋_GB2312"/>
          <w:sz w:val="32"/>
          <w:szCs w:val="32"/>
        </w:rPr>
        <w:t>。</w:t>
      </w:r>
    </w:p>
    <w:p>
      <w:pPr>
        <w:ind w:firstLine="632" w:firstLineChars="200"/>
        <w:rPr>
          <w:rFonts w:ascii="仿宋_GB2312" w:eastAsia="仿宋_GB2312"/>
          <w:sz w:val="32"/>
          <w:szCs w:val="32"/>
        </w:rPr>
      </w:pPr>
      <w:r>
        <w:rPr>
          <w:rFonts w:hint="eastAsia" w:ascii="仿宋_GB2312" w:eastAsia="仿宋_GB2312"/>
          <w:sz w:val="32"/>
          <w:szCs w:val="32"/>
        </w:rPr>
        <w:t>公用经费</w:t>
      </w:r>
      <w:r>
        <w:rPr>
          <w:rFonts w:ascii="仿宋_GB2312" w:eastAsia="仿宋_GB2312"/>
          <w:sz w:val="32"/>
          <w:szCs w:val="32"/>
        </w:rPr>
        <w:t>59.08</w:t>
      </w:r>
      <w:r>
        <w:rPr>
          <w:rFonts w:hint="eastAsia" w:ascii="仿宋_GB2312" w:eastAsia="仿宋_GB2312"/>
          <w:sz w:val="32"/>
          <w:szCs w:val="32"/>
        </w:rPr>
        <w:t>万元，主要包括：取暖费、劳务费。</w:t>
      </w:r>
    </w:p>
    <w:p>
      <w:pPr>
        <w:ind w:firstLine="632"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32" w:firstLineChars="200"/>
        <w:rPr>
          <w:rFonts w:ascii="仿宋_GB2312" w:eastAsia="仿宋_GB2312"/>
          <w:sz w:val="32"/>
          <w:szCs w:val="32"/>
        </w:rPr>
      </w:pPr>
      <w:r>
        <w:rPr>
          <w:rFonts w:hint="eastAsia" w:ascii="仿宋_GB2312" w:eastAsia="仿宋_GB2312"/>
          <w:sz w:val="32"/>
          <w:szCs w:val="32"/>
        </w:rPr>
        <w:t>本部门无一般公共预算安排的“三公”经费支出。</w:t>
      </w:r>
    </w:p>
    <w:p>
      <w:pPr>
        <w:ind w:firstLine="632"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32" w:firstLineChars="200"/>
        <w:rPr>
          <w:rFonts w:ascii="仿宋_GB2312" w:eastAsia="仿宋_GB2312"/>
          <w:sz w:val="32"/>
          <w:szCs w:val="32"/>
        </w:rPr>
      </w:pPr>
      <w:r>
        <w:rPr>
          <w:rFonts w:hint="eastAsia" w:ascii="仿宋_GB2312" w:eastAsia="仿宋_GB2312"/>
          <w:sz w:val="32"/>
          <w:szCs w:val="32"/>
        </w:rPr>
        <w:t>本部门没有政府性基金收入，也没有使用政府性基金安排的支出。</w:t>
      </w:r>
    </w:p>
    <w:p>
      <w:pPr>
        <w:numPr>
          <w:ilvl w:val="0"/>
          <w:numId w:val="2"/>
        </w:numPr>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重要事项情况说明</w:t>
      </w:r>
    </w:p>
    <w:p>
      <w:pPr>
        <w:pStyle w:val="33"/>
        <w:numPr>
          <w:ilvl w:val="0"/>
          <w:numId w:val="3"/>
        </w:numPr>
        <w:ind w:firstLineChars="0"/>
        <w:rPr>
          <w:rFonts w:ascii="楷体_GB2312" w:eastAsia="楷体_GB2312"/>
          <w:sz w:val="32"/>
          <w:szCs w:val="32"/>
        </w:rPr>
      </w:pPr>
      <w:r>
        <w:rPr>
          <w:rFonts w:hint="eastAsia" w:ascii="楷体_GB2312" w:eastAsia="楷体_GB2312"/>
          <w:sz w:val="32"/>
          <w:szCs w:val="32"/>
        </w:rPr>
        <w:t>机关运行经费支出情况</w:t>
      </w:r>
    </w:p>
    <w:p>
      <w:pPr>
        <w:ind w:firstLine="632" w:firstLineChars="200"/>
        <w:jc w:val="left"/>
        <w:rPr>
          <w:rFonts w:ascii="仿宋_GB2312" w:eastAsia="仿宋_GB2312"/>
          <w:sz w:val="32"/>
          <w:szCs w:val="32"/>
        </w:rPr>
      </w:pPr>
      <w:r>
        <w:rPr>
          <w:rFonts w:hint="eastAsia" w:ascii="仿宋_GB2312" w:eastAsia="仿宋_GB2312"/>
          <w:sz w:val="32"/>
          <w:szCs w:val="32"/>
        </w:rPr>
        <w:t>本部门所属预算单位为事业单位，无机关运行经费支出</w:t>
      </w:r>
      <w:r>
        <w:rPr>
          <w:rFonts w:ascii="仿宋_GB2312" w:eastAsia="仿宋_GB2312"/>
          <w:sz w:val="32"/>
          <w:szCs w:val="32"/>
        </w:rPr>
        <w:t>。</w:t>
      </w:r>
    </w:p>
    <w:p>
      <w:pPr>
        <w:ind w:firstLine="632" w:firstLineChars="200"/>
        <w:rPr>
          <w:rFonts w:ascii="楷体_GB2312" w:eastAsia="楷体_GB2312"/>
          <w:sz w:val="32"/>
          <w:szCs w:val="32"/>
        </w:rPr>
      </w:pPr>
      <w:r>
        <w:rPr>
          <w:rFonts w:hint="eastAsia" w:ascii="楷体_GB2312" w:eastAsia="楷体_GB2312"/>
          <w:sz w:val="32"/>
          <w:szCs w:val="32"/>
        </w:rPr>
        <w:t>（二）政府采购支出情况</w:t>
      </w:r>
    </w:p>
    <w:p>
      <w:pPr>
        <w:ind w:firstLine="632" w:firstLineChars="200"/>
        <w:rPr>
          <w:rFonts w:ascii="仿宋_GB2312" w:eastAsia="仿宋_GB2312"/>
          <w:sz w:val="32"/>
          <w:szCs w:val="32"/>
        </w:rPr>
      </w:pPr>
      <w:r>
        <w:rPr>
          <w:rFonts w:hint="eastAsia" w:ascii="仿宋_GB2312" w:eastAsia="仿宋_GB2312"/>
          <w:sz w:val="32"/>
          <w:szCs w:val="32"/>
        </w:rPr>
        <w:t>本部门无政府采购支出。</w:t>
      </w:r>
    </w:p>
    <w:p>
      <w:pPr>
        <w:ind w:firstLine="632"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32" w:firstLineChars="200"/>
        <w:rPr>
          <w:rFonts w:ascii="仿宋_GB2312" w:hAnsi="宋体" w:eastAsia="仿宋_GB2312" w:cs="Courier New"/>
          <w:sz w:val="32"/>
          <w:szCs w:val="32"/>
        </w:rPr>
      </w:pPr>
      <w:r>
        <w:rPr>
          <w:rFonts w:hint="eastAsia" w:ascii="仿宋_GB2312" w:hAnsi="宋体" w:eastAsia="仿宋_GB2312" w:cs="Courier New"/>
          <w:sz w:val="32"/>
          <w:szCs w:val="32"/>
        </w:rPr>
        <w:t>截至</w:t>
      </w:r>
      <w:r>
        <w:rPr>
          <w:rFonts w:ascii="仿宋_GB2312" w:hAnsi="宋体" w:eastAsia="仿宋_GB2312" w:cs="Courier New"/>
          <w:sz w:val="32"/>
          <w:szCs w:val="32"/>
        </w:rPr>
        <w:t>201</w:t>
      </w:r>
      <w:r>
        <w:rPr>
          <w:rFonts w:hint="eastAsia" w:ascii="仿宋_GB2312" w:hAnsi="宋体" w:eastAsia="仿宋_GB2312" w:cs="Courier New"/>
          <w:sz w:val="32"/>
          <w:szCs w:val="32"/>
        </w:rPr>
        <w:t>9年</w:t>
      </w:r>
      <w:r>
        <w:rPr>
          <w:rFonts w:ascii="仿宋_GB2312" w:hAnsi="宋体" w:eastAsia="仿宋_GB2312" w:cs="Courier New"/>
          <w:sz w:val="32"/>
          <w:szCs w:val="32"/>
        </w:rPr>
        <w:t>12</w:t>
      </w:r>
      <w:r>
        <w:rPr>
          <w:rFonts w:hint="eastAsia" w:ascii="仿宋_GB2312" w:hAnsi="宋体" w:eastAsia="仿宋_GB2312" w:cs="Courier New"/>
          <w:sz w:val="32"/>
          <w:szCs w:val="32"/>
        </w:rPr>
        <w:t>月</w:t>
      </w:r>
      <w:r>
        <w:rPr>
          <w:rFonts w:ascii="仿宋_GB2312" w:hAnsi="宋体" w:eastAsia="仿宋_GB2312" w:cs="Courier New"/>
          <w:sz w:val="32"/>
          <w:szCs w:val="32"/>
        </w:rPr>
        <w:t>31</w:t>
      </w:r>
      <w:r>
        <w:rPr>
          <w:rFonts w:hint="eastAsia" w:ascii="仿宋_GB2312" w:hAnsi="宋体" w:eastAsia="仿宋_GB2312" w:cs="Courier New"/>
          <w:sz w:val="32"/>
          <w:szCs w:val="32"/>
        </w:rPr>
        <w:t>日，部门（单位）共有车辆</w:t>
      </w:r>
      <w:r>
        <w:rPr>
          <w:rFonts w:ascii="仿宋_GB2312" w:hAnsi="宋体" w:eastAsia="仿宋_GB2312" w:cs="Courier New"/>
          <w:sz w:val="32"/>
          <w:szCs w:val="32"/>
        </w:rPr>
        <w:t>0</w:t>
      </w:r>
      <w:r>
        <w:rPr>
          <w:rFonts w:hint="eastAsia" w:ascii="仿宋_GB2312" w:hAnsi="宋体" w:eastAsia="仿宋_GB2312" w:cs="Courier New"/>
          <w:sz w:val="32"/>
          <w:szCs w:val="32"/>
        </w:rPr>
        <w:t>辆。</w:t>
      </w:r>
      <w:r>
        <w:rPr>
          <w:rFonts w:ascii="仿宋_GB2312" w:hAnsi="宋体" w:eastAsia="仿宋_GB2312" w:cs="Courier New"/>
          <w:sz w:val="32"/>
          <w:szCs w:val="32"/>
        </w:rPr>
        <w:t xml:space="preserve"> </w:t>
      </w:r>
    </w:p>
    <w:p>
      <w:pPr>
        <w:ind w:firstLine="632" w:firstLineChars="200"/>
        <w:rPr>
          <w:rFonts w:ascii="楷体_GB2312" w:eastAsia="楷体_GB2312"/>
          <w:sz w:val="32"/>
          <w:szCs w:val="32"/>
        </w:rPr>
      </w:pPr>
      <w:r>
        <w:rPr>
          <w:rFonts w:hint="eastAsia" w:ascii="楷体_GB2312" w:eastAsia="楷体_GB2312"/>
          <w:sz w:val="32"/>
          <w:szCs w:val="32"/>
        </w:rPr>
        <w:t>（四）预算绩效情况</w:t>
      </w:r>
    </w:p>
    <w:p>
      <w:pPr>
        <w:spacing w:line="600" w:lineRule="exact"/>
        <w:ind w:firstLine="632" w:firstLineChars="200"/>
        <w:rPr>
          <w:rFonts w:ascii="仿宋_GB2312" w:hAnsi="宋体" w:eastAsia="仿宋_GB2312" w:cs="Courier New"/>
          <w:sz w:val="32"/>
          <w:szCs w:val="32"/>
        </w:rPr>
      </w:pPr>
      <w:r>
        <w:rPr>
          <w:rFonts w:hint="eastAsia" w:ascii="仿宋_GB2312" w:hAnsi="宋体" w:eastAsia="仿宋_GB2312" w:cs="Courier New"/>
          <w:sz w:val="32"/>
          <w:szCs w:val="32"/>
        </w:rPr>
        <w:t>本部门无评价项目。</w:t>
      </w:r>
    </w:p>
    <w:p>
      <w:pPr>
        <w:rPr>
          <w:rFonts w:ascii="方正小标宋简体" w:eastAsia="方正小标宋简体"/>
          <w:bCs/>
          <w:color w:val="0000FF"/>
          <w:sz w:val="42"/>
        </w:rPr>
      </w:pPr>
    </w:p>
    <w:p>
      <w:pPr>
        <w:rPr>
          <w:rFonts w:ascii="方正小标宋简体" w:eastAsia="方正小标宋简体"/>
          <w:bCs/>
          <w:color w:val="0000FF"/>
          <w:sz w:val="42"/>
        </w:rPr>
      </w:pPr>
    </w:p>
    <w:p>
      <w:pPr>
        <w:rPr>
          <w:rFonts w:ascii="方正小标宋简体" w:eastAsia="方正小标宋简体"/>
          <w:bCs/>
          <w:color w:val="0000FF"/>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名词解释</w:t>
      </w: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指单位从同级财政部门取得的财政预算资金。按现行管理制度，市级部门决算中反映的财政拨款包括一般公共预算财政拨款和政府性基金财政拨款。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微软雅黑" w:hAnsi="微软雅黑" w:eastAsia="微软雅黑"/>
          <w:color w:val="000000" w:themeColor="text1"/>
          <w:sz w:val="32"/>
          <w:szCs w:val="32"/>
        </w:rPr>
      </w:pPr>
      <w:r>
        <w:rPr>
          <w:rFonts w:hint="eastAsia" w:ascii="黑体" w:hAnsi="黑体" w:eastAsia="黑体"/>
          <w:sz w:val="32"/>
          <w:szCs w:val="32"/>
        </w:rPr>
        <w:t>十六、文化旅游体育与传媒（类）文化和旅游（款）其他文化和旅游支出（项）:</w:t>
      </w:r>
      <w:r>
        <w:rPr>
          <w:rFonts w:ascii="仿宋_GB2312" w:eastAsia="仿宋_GB2312"/>
          <w:color w:val="000000" w:themeColor="text1"/>
          <w:sz w:val="32"/>
          <w:szCs w:val="32"/>
        </w:rPr>
        <w:t> </w:t>
      </w:r>
      <w:r>
        <w:rPr>
          <w:rFonts w:ascii="仿宋_GB2312" w:eastAsia="仿宋_GB2312"/>
          <w:sz w:val="32"/>
          <w:szCs w:val="32"/>
        </w:rPr>
        <w:t>反映</w:t>
      </w:r>
      <w:r>
        <w:rPr>
          <w:rFonts w:hint="eastAsia" w:ascii="仿宋_GB2312" w:eastAsia="仿宋_GB2312"/>
          <w:sz w:val="32"/>
          <w:szCs w:val="32"/>
        </w:rPr>
        <w:t>其他</w:t>
      </w:r>
      <w:r>
        <w:rPr>
          <w:rFonts w:ascii="仿宋_GB2312" w:eastAsia="仿宋_GB2312"/>
          <w:sz w:val="32"/>
          <w:szCs w:val="32"/>
        </w:rPr>
        <w:t>用于文化和旅游</w:t>
      </w:r>
      <w:r>
        <w:rPr>
          <w:rFonts w:hint="eastAsia" w:ascii="仿宋_GB2312" w:eastAsia="仿宋_GB2312"/>
          <w:sz w:val="32"/>
          <w:szCs w:val="32"/>
        </w:rPr>
        <w:t>方面</w:t>
      </w:r>
      <w:r>
        <w:rPr>
          <w:rFonts w:ascii="仿宋_GB2312" w:eastAsia="仿宋_GB2312"/>
          <w:sz w:val="32"/>
          <w:szCs w:val="32"/>
        </w:rPr>
        <w:t>的</w:t>
      </w:r>
      <w:r>
        <w:rPr>
          <w:rFonts w:hint="eastAsia" w:ascii="仿宋_GB2312" w:eastAsia="仿宋_GB2312"/>
          <w:sz w:val="32"/>
          <w:szCs w:val="32"/>
        </w:rPr>
        <w:t>支出</w:t>
      </w:r>
      <w:r>
        <w:rPr>
          <w:rFonts w:ascii="仿宋_GB2312" w:eastAsia="仿宋_GB2312"/>
          <w:sz w:val="32"/>
          <w:szCs w:val="32"/>
        </w:rPr>
        <w:t>。</w:t>
      </w:r>
      <w:r>
        <w:rPr>
          <w:rFonts w:hint="eastAsia" w:ascii="黑体" w:hAnsi="黑体" w:eastAsia="黑体"/>
          <w:sz w:val="32"/>
          <w:szCs w:val="32"/>
        </w:rPr>
        <w:t>文化旅游体育与传媒（类）其他文化体育与传媒支出（款）其他文化体育与传媒支出（项）：</w:t>
      </w:r>
      <w:r>
        <w:rPr>
          <w:rFonts w:ascii="仿宋_GB2312" w:eastAsia="仿宋_GB2312"/>
          <w:color w:val="000000" w:themeColor="text1"/>
          <w:sz w:val="32"/>
          <w:szCs w:val="32"/>
        </w:rPr>
        <w:t> </w:t>
      </w:r>
      <w:r>
        <w:rPr>
          <w:rFonts w:ascii="仿宋_GB2312" w:eastAsia="仿宋_GB2312"/>
          <w:sz w:val="32"/>
          <w:szCs w:val="32"/>
        </w:rPr>
        <w:t>反映</w:t>
      </w:r>
      <w:r>
        <w:rPr>
          <w:rFonts w:hint="eastAsia" w:ascii="仿宋_GB2312" w:eastAsia="仿宋_GB2312"/>
          <w:sz w:val="32"/>
          <w:szCs w:val="32"/>
        </w:rPr>
        <w:t>其他</w:t>
      </w:r>
      <w:r>
        <w:rPr>
          <w:rFonts w:ascii="仿宋_GB2312" w:eastAsia="仿宋_GB2312"/>
          <w:sz w:val="32"/>
          <w:szCs w:val="32"/>
        </w:rPr>
        <w:t>用于</w:t>
      </w:r>
      <w:r>
        <w:rPr>
          <w:rFonts w:hint="eastAsia" w:ascii="仿宋_GB2312" w:eastAsia="仿宋_GB2312"/>
          <w:sz w:val="32"/>
          <w:szCs w:val="32"/>
        </w:rPr>
        <w:t>文化旅游体育与传媒方面</w:t>
      </w:r>
      <w:r>
        <w:rPr>
          <w:rFonts w:ascii="仿宋_GB2312" w:eastAsia="仿宋_GB2312"/>
          <w:sz w:val="32"/>
          <w:szCs w:val="32"/>
        </w:rPr>
        <w:t>的</w:t>
      </w:r>
      <w:r>
        <w:rPr>
          <w:rFonts w:hint="eastAsia" w:ascii="仿宋_GB2312" w:eastAsia="仿宋_GB2312"/>
          <w:sz w:val="32"/>
          <w:szCs w:val="32"/>
        </w:rPr>
        <w:t>支出</w:t>
      </w:r>
      <w:r>
        <w:rPr>
          <w:rFonts w:ascii="仿宋_GB2312" w:eastAsia="仿宋_GB2312"/>
          <w:sz w:val="32"/>
          <w:szCs w:val="32"/>
        </w:rPr>
        <w:t>。</w:t>
      </w:r>
      <w:r>
        <w:rPr>
          <w:rFonts w:hint="eastAsia" w:ascii="黑体" w:hAnsi="黑体" w:eastAsia="黑体"/>
          <w:sz w:val="32"/>
          <w:szCs w:val="32"/>
        </w:rPr>
        <w:t>文化旅游体育与传媒（类）新闻出版电影（款）行政运行（项）：</w:t>
      </w:r>
      <w:r>
        <w:rPr>
          <w:rFonts w:hint="eastAsia" w:ascii="仿宋_GB2312" w:eastAsia="仿宋_GB2312"/>
          <w:sz w:val="32"/>
          <w:szCs w:val="32"/>
        </w:rPr>
        <w:t>反映行政单位（包括实行公务员管理的事业单位）的基本支出。</w:t>
      </w:r>
      <w:r>
        <w:rPr>
          <w:rFonts w:hint="eastAsia" w:ascii="黑体" w:hAnsi="黑体" w:eastAsia="黑体"/>
          <w:sz w:val="32"/>
          <w:szCs w:val="32"/>
        </w:rPr>
        <w:t>文化旅游体育与传媒（类）新闻出版电影（款）电影（项）：</w:t>
      </w:r>
      <w:r>
        <w:rPr>
          <w:rFonts w:hint="eastAsia" w:ascii="仿宋_GB2312" w:eastAsia="仿宋_GB2312"/>
          <w:color w:val="000000" w:themeColor="text1"/>
          <w:sz w:val="32"/>
          <w:szCs w:val="32"/>
        </w:rPr>
        <w:t>反映电影</w:t>
      </w:r>
      <w:r>
        <w:rPr>
          <w:rFonts w:ascii="仿宋_GB2312" w:eastAsia="仿宋_GB2312"/>
          <w:color w:val="000000" w:themeColor="text1"/>
          <w:sz w:val="32"/>
          <w:szCs w:val="32"/>
        </w:rPr>
        <w:t>制片、</w:t>
      </w:r>
      <w:r>
        <w:rPr>
          <w:rFonts w:hint="eastAsia" w:ascii="仿宋_GB2312" w:eastAsia="仿宋_GB2312"/>
          <w:color w:val="000000" w:themeColor="text1"/>
          <w:sz w:val="32"/>
          <w:szCs w:val="32"/>
        </w:rPr>
        <w:t>发</w:t>
      </w:r>
      <w:r>
        <w:rPr>
          <w:rFonts w:ascii="仿宋_GB2312" w:eastAsia="仿宋_GB2312"/>
          <w:color w:val="000000" w:themeColor="text1"/>
          <w:sz w:val="32"/>
          <w:szCs w:val="32"/>
        </w:rPr>
        <w:t>行、放映等</w:t>
      </w:r>
      <w:r>
        <w:rPr>
          <w:rFonts w:hint="eastAsia" w:ascii="仿宋_GB2312" w:eastAsia="仿宋_GB2312"/>
          <w:color w:val="000000" w:themeColor="text1"/>
          <w:sz w:val="32"/>
          <w:szCs w:val="32"/>
        </w:rPr>
        <w:t>方面</w:t>
      </w:r>
      <w:r>
        <w:rPr>
          <w:rFonts w:ascii="仿宋_GB2312" w:eastAsia="仿宋_GB2312"/>
          <w:color w:val="000000" w:themeColor="text1"/>
          <w:sz w:val="32"/>
          <w:szCs w:val="32"/>
        </w:rPr>
        <w:t>的支出。</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七、</w:t>
      </w:r>
      <w:r>
        <w:rPr>
          <w:rFonts w:hint="eastAsia" w:ascii="黑体" w:hAnsi="黑体" w:eastAsia="黑体"/>
          <w:sz w:val="32"/>
          <w:szCs w:val="32"/>
        </w:rPr>
        <w:t>社会保障和就业支出（类）行政事业单位离退休（款） 其他行政事业单位离退休支出（项）：</w:t>
      </w:r>
      <w:r>
        <w:rPr>
          <w:rFonts w:ascii="仿宋_GB2312" w:eastAsia="仿宋_GB2312"/>
          <w:color w:val="000000" w:themeColor="text1"/>
          <w:sz w:val="32"/>
          <w:szCs w:val="32"/>
        </w:rPr>
        <w:t>反映其他用于行政事业单位养老方面的支出。</w:t>
      </w:r>
    </w:p>
    <w:p>
      <w:pPr>
        <w:widowControl/>
        <w:jc w:val="left"/>
        <w:rPr>
          <w:rFonts w:ascii="黑体" w:hAnsi="黑体" w:eastAsia="黑体"/>
          <w:sz w:val="32"/>
          <w:szCs w:val="32"/>
        </w:rPr>
      </w:pPr>
    </w:p>
    <w:p>
      <w:pPr>
        <w:ind w:firstLine="640" w:firstLineChars="200"/>
        <w:rPr>
          <w:rFonts w:ascii="黑体" w:hAnsi="黑体" w:eastAsia="黑体"/>
          <w:sz w:val="32"/>
          <w:szCs w:val="3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p/>
    <w:tbl>
      <w:tblPr>
        <w:tblStyle w:val="10"/>
        <w:tblpPr w:leftFromText="180" w:rightFromText="180" w:vertAnchor="text" w:horzAnchor="page" w:tblpX="2027" w:tblpY="259"/>
        <w:tblOverlap w:val="never"/>
        <w:tblW w:w="13189" w:type="dxa"/>
        <w:tblInd w:w="0" w:type="dxa"/>
        <w:tblLayout w:type="fixed"/>
        <w:tblCellMar>
          <w:top w:w="15" w:type="dxa"/>
          <w:left w:w="15" w:type="dxa"/>
          <w:bottom w:w="15" w:type="dxa"/>
          <w:right w:w="15" w:type="dxa"/>
        </w:tblCellMar>
      </w:tblPr>
      <w:tblGrid>
        <w:gridCol w:w="830"/>
        <w:gridCol w:w="5686"/>
        <w:gridCol w:w="3056"/>
        <w:gridCol w:w="1783"/>
        <w:gridCol w:w="321"/>
        <w:gridCol w:w="1233"/>
        <w:gridCol w:w="280"/>
      </w:tblGrid>
      <w:tr>
        <w:tblPrEx>
          <w:tblCellMar>
            <w:top w:w="15" w:type="dxa"/>
            <w:left w:w="15" w:type="dxa"/>
            <w:bottom w:w="15" w:type="dxa"/>
            <w:right w:w="15" w:type="dxa"/>
          </w:tblCellMar>
        </w:tblPrEx>
        <w:trPr>
          <w:trHeight w:val="459" w:hRule="atLeast"/>
        </w:trPr>
        <w:tc>
          <w:tcPr>
            <w:tcW w:w="13189" w:type="dxa"/>
            <w:gridSpan w:val="7"/>
            <w:vAlign w:val="center"/>
          </w:tcPr>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2019年度兖州区电影发行放映公司部门预算项目绩效</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自评情况汇总表</w:t>
            </w:r>
          </w:p>
          <w:p>
            <w:pPr>
              <w:rPr>
                <w:rFonts w:ascii="方正小标宋简体" w:hAnsi="方正小标宋简体" w:eastAsia="方正小标宋简体" w:cs="方正小标宋简体"/>
                <w:sz w:val="44"/>
                <w:szCs w:val="44"/>
              </w:rPr>
            </w:pPr>
          </w:p>
        </w:tc>
      </w:tr>
      <w:tr>
        <w:tblPrEx>
          <w:tblCellMar>
            <w:top w:w="15" w:type="dxa"/>
            <w:left w:w="15" w:type="dxa"/>
            <w:bottom w:w="15" w:type="dxa"/>
            <w:right w:w="15" w:type="dxa"/>
          </w:tblCellMar>
        </w:tblPrEx>
        <w:trPr>
          <w:gridAfter w:val="2"/>
          <w:wAfter w:w="1513" w:type="dxa"/>
          <w:trHeight w:val="483" w:hRule="atLeast"/>
        </w:trPr>
        <w:tc>
          <w:tcPr>
            <w:tcW w:w="830" w:type="dxa"/>
            <w:vAlign w:val="center"/>
          </w:tcPr>
          <w:p>
            <w:pPr>
              <w:rPr>
                <w:rFonts w:ascii="仿宋_GB2312" w:hAnsi="宋体" w:eastAsia="仿宋_GB2312" w:cs="仿宋_GB2312"/>
                <w:color w:val="000000"/>
                <w:sz w:val="28"/>
                <w:szCs w:val="28"/>
              </w:rPr>
            </w:pPr>
          </w:p>
        </w:tc>
        <w:tc>
          <w:tcPr>
            <w:tcW w:w="5686" w:type="dxa"/>
            <w:vAlign w:val="center"/>
          </w:tcPr>
          <w:p>
            <w:pPr>
              <w:rPr>
                <w:rFonts w:ascii="仿宋_GB2312" w:hAnsi="宋体" w:eastAsia="仿宋_GB2312" w:cs="仿宋_GB2312"/>
                <w:color w:val="000000"/>
                <w:sz w:val="28"/>
                <w:szCs w:val="28"/>
              </w:rPr>
            </w:pPr>
          </w:p>
        </w:tc>
        <w:tc>
          <w:tcPr>
            <w:tcW w:w="3056" w:type="dxa"/>
            <w:vAlign w:val="center"/>
          </w:tcPr>
          <w:p>
            <w:pPr>
              <w:rPr>
                <w:rFonts w:ascii="仿宋_GB2312" w:hAnsi="宋体" w:eastAsia="仿宋_GB2312" w:cs="仿宋_GB2312"/>
                <w:color w:val="000000"/>
                <w:sz w:val="28"/>
                <w:szCs w:val="28"/>
              </w:rPr>
            </w:pPr>
          </w:p>
        </w:tc>
        <w:tc>
          <w:tcPr>
            <w:tcW w:w="2104" w:type="dxa"/>
            <w:gridSpan w:val="2"/>
            <w:tcBorders>
              <w:bottom w:val="single" w:color="000000" w:sz="4" w:space="0"/>
            </w:tcBorders>
            <w:vAlign w:val="center"/>
          </w:tcPr>
          <w:p>
            <w:pPr>
              <w:widowControl/>
              <w:jc w:val="right"/>
              <w:textAlignment w:val="center"/>
              <w:rPr>
                <w:rFonts w:ascii="黑体" w:hAnsi="宋体" w:eastAsia="黑体" w:cs="黑体"/>
                <w:color w:val="000000"/>
                <w:sz w:val="24"/>
              </w:rPr>
            </w:pPr>
          </w:p>
        </w:tc>
      </w:tr>
      <w:tr>
        <w:tblPrEx>
          <w:tblCellMar>
            <w:top w:w="15" w:type="dxa"/>
            <w:left w:w="15" w:type="dxa"/>
            <w:bottom w:w="15" w:type="dxa"/>
            <w:right w:w="15" w:type="dxa"/>
          </w:tblCellMar>
        </w:tblPrEx>
        <w:trPr>
          <w:gridAfter w:val="1"/>
          <w:wAfter w:w="280" w:type="dxa"/>
          <w:trHeight w:val="319" w:hRule="atLeast"/>
        </w:trPr>
        <w:tc>
          <w:tcPr>
            <w:tcW w:w="830"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68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5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5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CellMar>
            <w:top w:w="15" w:type="dxa"/>
            <w:left w:w="15" w:type="dxa"/>
            <w:bottom w:w="15" w:type="dxa"/>
            <w:right w:w="15" w:type="dxa"/>
          </w:tblCellMar>
        </w:tblPrEx>
        <w:trPr>
          <w:gridAfter w:val="1"/>
          <w:wAfter w:w="280" w:type="dxa"/>
          <w:trHeight w:val="513" w:hRule="atLeast"/>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gridAfter w:val="1"/>
          <w:wAfter w:w="280" w:type="dxa"/>
          <w:trHeight w:val="319" w:hRule="atLeast"/>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gridAfter w:val="1"/>
          <w:wAfter w:w="280" w:type="dxa"/>
          <w:trHeight w:val="378"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4</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gridAfter w:val="1"/>
          <w:wAfter w:w="280" w:type="dxa"/>
          <w:trHeight w:val="444" w:hRule="atLeast"/>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ind w:firstLine="240" w:firstLineChars="100"/>
        <w:rPr>
          <w:rFonts w:ascii="黑体" w:hAnsi="黑体" w:eastAsia="黑体" w:cs="黑体"/>
          <w:szCs w:val="32"/>
        </w:rPr>
        <w:sectPr>
          <w:pgSz w:w="16838" w:h="11906" w:orient="landscape"/>
          <w:pgMar w:top="1531" w:right="2098" w:bottom="1418" w:left="1871" w:header="851" w:footer="992" w:gutter="0"/>
          <w:cols w:space="425" w:num="1"/>
          <w:docGrid w:type="lines" w:linePitch="312" w:charSpace="0"/>
        </w:sectPr>
      </w:pPr>
      <w:r>
        <w:rPr>
          <w:rFonts w:hint="eastAsia" w:ascii="仿宋_GB2312" w:eastAsia="仿宋_GB2312"/>
          <w:sz w:val="24"/>
          <w:szCs w:val="24"/>
        </w:rPr>
        <w:t>注</w:t>
      </w:r>
      <w:r>
        <w:rPr>
          <w:rFonts w:ascii="仿宋_GB2312" w:eastAsia="仿宋_GB2312"/>
          <w:sz w:val="24"/>
          <w:szCs w:val="24"/>
        </w:rPr>
        <w:t>：</w:t>
      </w:r>
      <w:r>
        <w:rPr>
          <w:rFonts w:hint="eastAsia" w:ascii="仿宋_GB2312" w:eastAsia="仿宋_GB2312"/>
          <w:sz w:val="24"/>
          <w:szCs w:val="24"/>
        </w:rPr>
        <w:t>本部门无评价项目。</w:t>
      </w:r>
    </w:p>
    <w:p>
      <w:pPr>
        <w:widowControl/>
        <w:jc w:val="left"/>
        <w:rPr>
          <w:rFonts w:ascii="黑体" w:hAnsi="黑体" w:eastAsia="黑体" w:cs="黑体"/>
          <w:szCs w:val="32"/>
        </w:rPr>
      </w:pPr>
    </w:p>
    <w:tbl>
      <w:tblPr>
        <w:tblStyle w:val="10"/>
        <w:tblW w:w="9799" w:type="dxa"/>
        <w:jc w:val="center"/>
        <w:tblLayout w:type="fixed"/>
        <w:tblCellMar>
          <w:top w:w="15" w:type="dxa"/>
          <w:left w:w="15" w:type="dxa"/>
          <w:bottom w:w="15" w:type="dxa"/>
          <w:right w:w="15" w:type="dxa"/>
        </w:tblCellMar>
      </w:tblPr>
      <w:tblGrid>
        <w:gridCol w:w="438"/>
        <w:gridCol w:w="775"/>
        <w:gridCol w:w="1389"/>
        <w:gridCol w:w="301"/>
        <w:gridCol w:w="2004"/>
        <w:gridCol w:w="261"/>
        <w:gridCol w:w="802"/>
        <w:gridCol w:w="725"/>
        <w:gridCol w:w="533"/>
        <w:gridCol w:w="267"/>
        <w:gridCol w:w="323"/>
        <w:gridCol w:w="383"/>
        <w:gridCol w:w="212"/>
        <w:gridCol w:w="1386"/>
      </w:tblGrid>
      <w:tr>
        <w:tblPrEx>
          <w:tblCellMar>
            <w:top w:w="15" w:type="dxa"/>
            <w:left w:w="15" w:type="dxa"/>
            <w:bottom w:w="15" w:type="dxa"/>
            <w:right w:w="15" w:type="dxa"/>
          </w:tblCellMar>
        </w:tblPrEx>
        <w:trPr>
          <w:trHeight w:val="343" w:hRule="atLeast"/>
          <w:jc w:val="center"/>
        </w:trPr>
        <w:tc>
          <w:tcPr>
            <w:tcW w:w="9799" w:type="dxa"/>
            <w:gridSpan w:val="14"/>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区级预算项目支出绩效自评表</w:t>
            </w:r>
          </w:p>
        </w:tc>
      </w:tr>
      <w:tr>
        <w:tblPrEx>
          <w:tblCellMar>
            <w:top w:w="15" w:type="dxa"/>
            <w:left w:w="15" w:type="dxa"/>
            <w:bottom w:w="15" w:type="dxa"/>
            <w:right w:w="15" w:type="dxa"/>
          </w:tblCellMar>
        </w:tblPrEx>
        <w:trPr>
          <w:trHeight w:val="179" w:hRule="atLeast"/>
          <w:jc w:val="center"/>
        </w:trPr>
        <w:tc>
          <w:tcPr>
            <w:tcW w:w="9799" w:type="dxa"/>
            <w:gridSpan w:val="14"/>
            <w:vAlign w:val="center"/>
          </w:tcPr>
          <w:p>
            <w:pPr>
              <w:widowControl/>
              <w:jc w:val="center"/>
              <w:textAlignment w:val="center"/>
              <w:rPr>
                <w:rFonts w:ascii="楷体_GB2312" w:hAnsi="宋体" w:eastAsia="楷体_GB2312" w:cs="楷体_GB2312"/>
                <w:color w:val="000000"/>
                <w:sz w:val="24"/>
              </w:rPr>
            </w:pPr>
            <w:r>
              <w:rPr>
                <w:rFonts w:hint="eastAsia" w:ascii="楷体_GB2312" w:hAnsi="宋体" w:eastAsia="楷体_GB2312" w:cs="楷体_GB2312"/>
                <w:color w:val="000000"/>
                <w:kern w:val="0"/>
                <w:sz w:val="24"/>
              </w:rPr>
              <w:t>（2019年度）</w:t>
            </w:r>
          </w:p>
        </w:tc>
      </w:tr>
      <w:tr>
        <w:tblPrEx>
          <w:tblCellMar>
            <w:top w:w="15" w:type="dxa"/>
            <w:left w:w="15" w:type="dxa"/>
            <w:bottom w:w="15" w:type="dxa"/>
            <w:right w:w="15" w:type="dxa"/>
          </w:tblCellMar>
        </w:tblPrEx>
        <w:trPr>
          <w:trHeight w:val="179" w:hRule="atLeast"/>
          <w:jc w:val="center"/>
        </w:trPr>
        <w:tc>
          <w:tcPr>
            <w:tcW w:w="438" w:type="dxa"/>
            <w:vAlign w:val="center"/>
          </w:tcPr>
          <w:p>
            <w:pPr>
              <w:jc w:val="center"/>
              <w:rPr>
                <w:rFonts w:ascii="宋体" w:hAnsi="宋体" w:cs="宋体"/>
                <w:color w:val="000000"/>
                <w:sz w:val="20"/>
                <w:szCs w:val="20"/>
              </w:rPr>
            </w:pPr>
          </w:p>
        </w:tc>
        <w:tc>
          <w:tcPr>
            <w:tcW w:w="775" w:type="dxa"/>
            <w:vAlign w:val="center"/>
          </w:tcPr>
          <w:p>
            <w:pPr>
              <w:jc w:val="center"/>
              <w:rPr>
                <w:rFonts w:ascii="宋体" w:hAnsi="宋体" w:cs="宋体"/>
                <w:color w:val="000000"/>
                <w:sz w:val="20"/>
                <w:szCs w:val="20"/>
              </w:rPr>
            </w:pPr>
          </w:p>
        </w:tc>
        <w:tc>
          <w:tcPr>
            <w:tcW w:w="1389" w:type="dxa"/>
            <w:vAlign w:val="center"/>
          </w:tcPr>
          <w:p>
            <w:pPr>
              <w:jc w:val="center"/>
              <w:rPr>
                <w:rFonts w:ascii="宋体" w:hAnsi="宋体" w:cs="宋体"/>
                <w:color w:val="000000"/>
                <w:sz w:val="20"/>
                <w:szCs w:val="20"/>
              </w:rPr>
            </w:pPr>
          </w:p>
        </w:tc>
        <w:tc>
          <w:tcPr>
            <w:tcW w:w="2305" w:type="dxa"/>
            <w:gridSpan w:val="2"/>
            <w:vAlign w:val="center"/>
          </w:tcPr>
          <w:p>
            <w:pPr>
              <w:jc w:val="center"/>
              <w:rPr>
                <w:rFonts w:ascii="宋体" w:hAnsi="宋体" w:cs="宋体"/>
                <w:color w:val="000000"/>
                <w:sz w:val="20"/>
                <w:szCs w:val="20"/>
              </w:rPr>
            </w:pPr>
          </w:p>
        </w:tc>
        <w:tc>
          <w:tcPr>
            <w:tcW w:w="1063" w:type="dxa"/>
            <w:gridSpan w:val="2"/>
            <w:vAlign w:val="center"/>
          </w:tcPr>
          <w:p>
            <w:pPr>
              <w:jc w:val="center"/>
              <w:rPr>
                <w:rFonts w:ascii="宋体" w:hAnsi="宋体" w:cs="宋体"/>
                <w:color w:val="000000"/>
                <w:sz w:val="20"/>
                <w:szCs w:val="20"/>
              </w:rPr>
            </w:pPr>
          </w:p>
        </w:tc>
        <w:tc>
          <w:tcPr>
            <w:tcW w:w="1258" w:type="dxa"/>
            <w:gridSpan w:val="2"/>
            <w:vAlign w:val="center"/>
          </w:tcPr>
          <w:p>
            <w:pPr>
              <w:jc w:val="center"/>
              <w:rPr>
                <w:rFonts w:ascii="宋体" w:hAnsi="宋体" w:cs="宋体"/>
                <w:color w:val="000000"/>
                <w:sz w:val="20"/>
                <w:szCs w:val="20"/>
              </w:rPr>
            </w:pPr>
          </w:p>
        </w:tc>
        <w:tc>
          <w:tcPr>
            <w:tcW w:w="590" w:type="dxa"/>
            <w:gridSpan w:val="2"/>
            <w:vAlign w:val="center"/>
          </w:tcPr>
          <w:p>
            <w:pPr>
              <w:jc w:val="center"/>
              <w:rPr>
                <w:rFonts w:ascii="宋体" w:hAnsi="宋体" w:cs="宋体"/>
                <w:color w:val="000000"/>
                <w:sz w:val="20"/>
                <w:szCs w:val="20"/>
              </w:rPr>
            </w:pPr>
          </w:p>
        </w:tc>
        <w:tc>
          <w:tcPr>
            <w:tcW w:w="1981" w:type="dxa"/>
            <w:gridSpan w:val="3"/>
            <w:vAlign w:val="center"/>
          </w:tcPr>
          <w:p>
            <w:pPr>
              <w:widowControl/>
              <w:jc w:val="center"/>
              <w:textAlignment w:val="center"/>
              <w:rPr>
                <w:rFonts w:ascii="宋体" w:hAnsi="宋体" w:cs="宋体"/>
                <w:color w:val="000000"/>
                <w:sz w:val="24"/>
              </w:rPr>
            </w:pPr>
          </w:p>
        </w:tc>
      </w:tr>
      <w:tr>
        <w:tblPrEx>
          <w:tblCellMar>
            <w:top w:w="15" w:type="dxa"/>
            <w:left w:w="15" w:type="dxa"/>
            <w:bottom w:w="15" w:type="dxa"/>
            <w:right w:w="15" w:type="dxa"/>
          </w:tblCellMar>
        </w:tblPrEx>
        <w:trPr>
          <w:trHeight w:val="252" w:hRule="atLeast"/>
          <w:jc w:val="center"/>
        </w:trPr>
        <w:tc>
          <w:tcPr>
            <w:tcW w:w="121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项目名称</w:t>
            </w:r>
          </w:p>
        </w:tc>
        <w:tc>
          <w:tcPr>
            <w:tcW w:w="475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主管部门</w:t>
            </w:r>
          </w:p>
        </w:tc>
        <w:tc>
          <w:tcPr>
            <w:tcW w:w="257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523" w:hRule="atLeast"/>
          <w:jc w:val="center"/>
        </w:trPr>
        <w:tc>
          <w:tcPr>
            <w:tcW w:w="121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项目预算</w:t>
            </w:r>
            <w:r>
              <w:rPr>
                <w:rFonts w:hint="eastAsia" w:ascii="宋体" w:hAnsi="宋体" w:cs="宋体"/>
                <w:b/>
                <w:color w:val="000000"/>
                <w:kern w:val="0"/>
                <w:sz w:val="20"/>
                <w:szCs w:val="20"/>
              </w:rPr>
              <w:br w:type="textWrapping"/>
            </w:r>
            <w:r>
              <w:rPr>
                <w:rFonts w:hint="eastAsia" w:ascii="宋体" w:hAnsi="宋体" w:cs="宋体"/>
                <w:b/>
                <w:color w:val="000000"/>
                <w:kern w:val="0"/>
                <w:sz w:val="20"/>
                <w:szCs w:val="20"/>
              </w:rPr>
              <w:t>执行情况</w:t>
            </w:r>
            <w:r>
              <w:rPr>
                <w:rFonts w:hint="eastAsia" w:ascii="宋体" w:hAnsi="宋体" w:cs="宋体"/>
                <w:b/>
                <w:color w:val="000000"/>
                <w:kern w:val="0"/>
                <w:sz w:val="20"/>
                <w:szCs w:val="20"/>
              </w:rPr>
              <w:br w:type="textWrapping"/>
            </w:r>
            <w:r>
              <w:rPr>
                <w:rFonts w:hint="eastAsia" w:ascii="宋体" w:hAnsi="宋体" w:cs="宋体"/>
                <w:b/>
                <w:color w:val="000000"/>
                <w:kern w:val="0"/>
                <w:sz w:val="20"/>
                <w:szCs w:val="20"/>
              </w:rPr>
              <w:t>（10分）</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单位万元</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0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全年</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5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185" w:hRule="atLeast"/>
          <w:jc w:val="center"/>
        </w:trPr>
        <w:tc>
          <w:tcPr>
            <w:tcW w:w="121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0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348" w:hRule="atLeast"/>
          <w:jc w:val="center"/>
        </w:trPr>
        <w:tc>
          <w:tcPr>
            <w:tcW w:w="121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0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348" w:hRule="atLeast"/>
          <w:jc w:val="center"/>
        </w:trPr>
        <w:tc>
          <w:tcPr>
            <w:tcW w:w="121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0"/>
                <w:szCs w:val="20"/>
              </w:rPr>
            </w:pP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0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c>
          <w:tcPr>
            <w:tcW w:w="5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185" w:hRule="atLeast"/>
          <w:jc w:val="center"/>
        </w:trPr>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244" w:hRule="atLeast"/>
          <w:jc w:val="center"/>
        </w:trPr>
        <w:tc>
          <w:tcPr>
            <w:tcW w:w="1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年度总体目标</w:t>
            </w:r>
          </w:p>
        </w:tc>
        <w:tc>
          <w:tcPr>
            <w:tcW w:w="4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年初预期目标</w:t>
            </w:r>
          </w:p>
        </w:tc>
        <w:tc>
          <w:tcPr>
            <w:tcW w:w="38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目标实际完成情况</w:t>
            </w:r>
          </w:p>
        </w:tc>
      </w:tr>
      <w:tr>
        <w:tblPrEx>
          <w:tblCellMar>
            <w:top w:w="15" w:type="dxa"/>
            <w:left w:w="15" w:type="dxa"/>
            <w:bottom w:w="15" w:type="dxa"/>
            <w:right w:w="15" w:type="dxa"/>
          </w:tblCellMar>
        </w:tblPrEx>
        <w:trPr>
          <w:trHeight w:val="1094" w:hRule="atLeast"/>
          <w:jc w:val="center"/>
        </w:trPr>
        <w:tc>
          <w:tcPr>
            <w:tcW w:w="1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4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20"/>
                <w:szCs w:val="20"/>
              </w:rPr>
            </w:pPr>
          </w:p>
        </w:tc>
        <w:tc>
          <w:tcPr>
            <w:tcW w:w="38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20"/>
                <w:szCs w:val="20"/>
              </w:rPr>
            </w:pPr>
          </w:p>
        </w:tc>
      </w:tr>
      <w:tr>
        <w:tblPrEx>
          <w:tblCellMar>
            <w:top w:w="15" w:type="dxa"/>
            <w:left w:w="15" w:type="dxa"/>
            <w:bottom w:w="15" w:type="dxa"/>
            <w:right w:w="15" w:type="dxa"/>
          </w:tblCellMar>
        </w:tblPrEx>
        <w:trPr>
          <w:trHeight w:val="39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二级指标</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三级指标</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年度指标值</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实际完成指标值</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分值</w:t>
            </w: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得分</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偏差原因分析及改进措施</w:t>
            </w:r>
          </w:p>
        </w:tc>
      </w:tr>
      <w:tr>
        <w:tblPrEx>
          <w:tblCellMar>
            <w:top w:w="15" w:type="dxa"/>
            <w:left w:w="15" w:type="dxa"/>
            <w:bottom w:w="15" w:type="dxa"/>
            <w:right w:w="15" w:type="dxa"/>
          </w:tblCellMar>
        </w:tblPrEx>
        <w:trPr>
          <w:trHeight w:val="190" w:hRule="atLeast"/>
          <w:jc w:val="center"/>
        </w:trPr>
        <w:tc>
          <w:tcPr>
            <w:tcW w:w="438" w:type="dxa"/>
            <w:vMerge w:val="restart"/>
            <w:tcBorders>
              <w:left w:val="single" w:color="000000" w:sz="4" w:space="0"/>
              <w:bottom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年度绩效指标</w:t>
            </w:r>
          </w:p>
        </w:tc>
        <w:tc>
          <w:tcPr>
            <w:tcW w:w="775"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（50分）</w:t>
            </w:r>
          </w:p>
        </w:tc>
        <w:tc>
          <w:tcPr>
            <w:tcW w:w="1389"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190" w:hRule="atLeast"/>
          <w:jc w:val="center"/>
        </w:trPr>
        <w:tc>
          <w:tcPr>
            <w:tcW w:w="438" w:type="dxa"/>
            <w:vMerge w:val="continue"/>
            <w:tcBorders>
              <w:left w:val="single" w:color="000000" w:sz="4" w:space="0"/>
              <w:bottom w:val="single" w:color="000000"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267" w:hRule="atLeast"/>
          <w:jc w:val="center"/>
        </w:trPr>
        <w:tc>
          <w:tcPr>
            <w:tcW w:w="438" w:type="dxa"/>
            <w:vMerge w:val="continue"/>
            <w:tcBorders>
              <w:left w:val="single" w:color="000000" w:sz="4" w:space="0"/>
              <w:bottom w:val="single" w:color="000000"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348" w:hRule="atLeast"/>
          <w:jc w:val="center"/>
        </w:trPr>
        <w:tc>
          <w:tcPr>
            <w:tcW w:w="438" w:type="dxa"/>
            <w:vMerge w:val="continue"/>
            <w:tcBorders>
              <w:left w:val="single" w:color="000000" w:sz="4" w:space="0"/>
              <w:bottom w:val="single" w:color="000000"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185"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185"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348"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shd w:val="pct10" w:color="auto" w:fill="FFFFFF"/>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shd w:val="pct10" w:color="auto" w:fill="FFFFFF"/>
              </w:rPr>
            </w:pPr>
          </w:p>
        </w:tc>
      </w:tr>
      <w:tr>
        <w:tblPrEx>
          <w:tblCellMar>
            <w:top w:w="15" w:type="dxa"/>
            <w:left w:w="15" w:type="dxa"/>
            <w:bottom w:w="15" w:type="dxa"/>
            <w:right w:w="15" w:type="dxa"/>
          </w:tblCellMar>
        </w:tblPrEx>
        <w:trPr>
          <w:trHeight w:val="368"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shd w:val="pct10" w:color="auto" w:fill="FFFFFF"/>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shd w:val="pct10" w:color="auto" w:fill="FFFFFF"/>
              </w:rPr>
            </w:pPr>
          </w:p>
        </w:tc>
      </w:tr>
      <w:tr>
        <w:tblPrEx>
          <w:tblCellMar>
            <w:top w:w="15" w:type="dxa"/>
            <w:left w:w="15" w:type="dxa"/>
            <w:bottom w:w="15" w:type="dxa"/>
            <w:right w:w="15" w:type="dxa"/>
          </w:tblCellMar>
        </w:tblPrEx>
        <w:trPr>
          <w:trHeight w:val="368"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shd w:val="pct10" w:color="auto" w:fill="FFFFFF"/>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shd w:val="pct10" w:color="auto" w:fill="FFFFFF"/>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shd w:val="pct10" w:color="auto" w:fill="FFFFFF"/>
              </w:rPr>
            </w:pPr>
          </w:p>
        </w:tc>
      </w:tr>
      <w:tr>
        <w:tblPrEx>
          <w:tblCellMar>
            <w:top w:w="15" w:type="dxa"/>
            <w:left w:w="15" w:type="dxa"/>
            <w:bottom w:w="15" w:type="dxa"/>
            <w:right w:w="15" w:type="dxa"/>
          </w:tblCellMar>
        </w:tblPrEx>
        <w:trPr>
          <w:trHeight w:val="222"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color w:val="000000"/>
                <w:sz w:val="20"/>
                <w:szCs w:val="20"/>
              </w:rPr>
            </w:pPr>
          </w:p>
        </w:tc>
        <w:tc>
          <w:tcPr>
            <w:tcW w:w="775" w:type="dxa"/>
            <w:vMerge w:val="restar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效益指标（30分）</w:t>
            </w:r>
          </w:p>
        </w:tc>
        <w:tc>
          <w:tcPr>
            <w:tcW w:w="13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348"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348"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299"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restart"/>
            <w:tcBorders>
              <w:top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（10分）</w:t>
            </w:r>
          </w:p>
        </w:tc>
        <w:tc>
          <w:tcPr>
            <w:tcW w:w="13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299"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299" w:hRule="atLeast"/>
          <w:jc w:val="center"/>
        </w:trPr>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20"/>
                <w:szCs w:val="20"/>
              </w:rPr>
            </w:pPr>
          </w:p>
        </w:tc>
        <w:tc>
          <w:tcPr>
            <w:tcW w:w="775" w:type="dxa"/>
            <w:vMerge w:val="continue"/>
            <w:tcBorders>
              <w:top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r>
      <w:tr>
        <w:tblPrEx>
          <w:tblCellMar>
            <w:top w:w="15" w:type="dxa"/>
            <w:left w:w="15" w:type="dxa"/>
            <w:bottom w:w="15" w:type="dxa"/>
            <w:right w:w="15" w:type="dxa"/>
          </w:tblCellMar>
        </w:tblPrEx>
        <w:trPr>
          <w:trHeight w:val="288" w:hRule="atLeast"/>
          <w:jc w:val="center"/>
        </w:trPr>
        <w:tc>
          <w:tcPr>
            <w:tcW w:w="1213"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总分</w:t>
            </w:r>
          </w:p>
        </w:tc>
        <w:tc>
          <w:tcPr>
            <w:tcW w:w="8586"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0"/>
                <w:szCs w:val="20"/>
              </w:rPr>
            </w:pPr>
          </w:p>
        </w:tc>
      </w:tr>
    </w:tbl>
    <w:p>
      <w:pPr>
        <w:spacing w:line="520" w:lineRule="atLeast"/>
        <w:rPr>
          <w:rFonts w:ascii="方正小标宋简体" w:eastAsia="方正小标宋简体"/>
          <w:sz w:val="44"/>
          <w:szCs w:val="44"/>
        </w:rPr>
      </w:pPr>
      <w:r>
        <w:rPr>
          <w:rFonts w:hint="eastAsia" w:ascii="仿宋_GB2312" w:eastAsia="仿宋_GB2312"/>
          <w:sz w:val="24"/>
          <w:szCs w:val="24"/>
        </w:rPr>
        <w:t>注</w:t>
      </w:r>
      <w:r>
        <w:rPr>
          <w:rFonts w:ascii="仿宋_GB2312" w:eastAsia="仿宋_GB2312"/>
          <w:sz w:val="24"/>
          <w:szCs w:val="24"/>
        </w:rPr>
        <w:t>：</w:t>
      </w:r>
      <w:r>
        <w:rPr>
          <w:rFonts w:hint="eastAsia" w:ascii="仿宋_GB2312" w:eastAsia="仿宋_GB2312"/>
          <w:sz w:val="24"/>
          <w:szCs w:val="24"/>
        </w:rPr>
        <w:t>本部门无评价项目。</w:t>
      </w:r>
    </w:p>
    <w:sectPr>
      <w:pgSz w:w="11906" w:h="16838"/>
      <w:pgMar w:top="2098" w:right="1418" w:bottom="187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213906"/>
      <w:docPartObj>
        <w:docPartGallery w:val="AutoText"/>
      </w:docPartObj>
    </w:sdtPr>
    <w:sdtContent>
      <w:p>
        <w:pPr>
          <w:pStyle w:val="6"/>
          <w:jc w:val="center"/>
        </w:pPr>
        <w:r>
          <w:fldChar w:fldCharType="begin"/>
        </w:r>
        <w:r>
          <w:instrText xml:space="preserve">PAGE   \* MERGEFORMAT</w:instrText>
        </w:r>
        <w:r>
          <w:fldChar w:fldCharType="separate"/>
        </w:r>
        <w:r>
          <w:rPr>
            <w:lang w:val="zh-CN"/>
          </w:rPr>
          <w:t>4</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04748"/>
    <w:multiLevelType w:val="singleLevel"/>
    <w:tmpl w:val="2AA04748"/>
    <w:lvl w:ilvl="0" w:tentative="0">
      <w:start w:val="1"/>
      <w:numFmt w:val="chineseCounting"/>
      <w:suff w:val="nothing"/>
      <w:lvlText w:val="%1、"/>
      <w:lvlJc w:val="left"/>
      <w:rPr>
        <w:rFonts w:hint="eastAsia"/>
      </w:rPr>
    </w:lvl>
  </w:abstractNum>
  <w:abstractNum w:abstractNumId="1">
    <w:nsid w:val="3685515E"/>
    <w:multiLevelType w:val="multilevel"/>
    <w:tmpl w:val="3685515E"/>
    <w:lvl w:ilvl="0" w:tentative="0">
      <w:start w:val="1"/>
      <w:numFmt w:val="japaneseCounting"/>
      <w:lvlText w:val="（%1）"/>
      <w:lvlJc w:val="left"/>
      <w:pPr>
        <w:ind w:left="1554" w:hanging="1080"/>
      </w:pPr>
      <w:rPr>
        <w:rFonts w:hint="default"/>
      </w:rPr>
    </w:lvl>
    <w:lvl w:ilvl="1" w:tentative="0">
      <w:start w:val="1"/>
      <w:numFmt w:val="lowerLetter"/>
      <w:lvlText w:val="%2)"/>
      <w:lvlJc w:val="left"/>
      <w:pPr>
        <w:ind w:left="1314" w:hanging="420"/>
      </w:pPr>
    </w:lvl>
    <w:lvl w:ilvl="2" w:tentative="0">
      <w:start w:val="1"/>
      <w:numFmt w:val="lowerRoman"/>
      <w:lvlText w:val="%3."/>
      <w:lvlJc w:val="right"/>
      <w:pPr>
        <w:ind w:left="1734" w:hanging="420"/>
      </w:pPr>
    </w:lvl>
    <w:lvl w:ilvl="3" w:tentative="0">
      <w:start w:val="1"/>
      <w:numFmt w:val="decimal"/>
      <w:lvlText w:val="%4."/>
      <w:lvlJc w:val="left"/>
      <w:pPr>
        <w:ind w:left="2154" w:hanging="420"/>
      </w:pPr>
    </w:lvl>
    <w:lvl w:ilvl="4" w:tentative="0">
      <w:start w:val="1"/>
      <w:numFmt w:val="lowerLetter"/>
      <w:lvlText w:val="%5)"/>
      <w:lvlJc w:val="left"/>
      <w:pPr>
        <w:ind w:left="2574" w:hanging="420"/>
      </w:pPr>
    </w:lvl>
    <w:lvl w:ilvl="5" w:tentative="0">
      <w:start w:val="1"/>
      <w:numFmt w:val="lowerRoman"/>
      <w:lvlText w:val="%6."/>
      <w:lvlJc w:val="right"/>
      <w:pPr>
        <w:ind w:left="2994" w:hanging="420"/>
      </w:pPr>
    </w:lvl>
    <w:lvl w:ilvl="6" w:tentative="0">
      <w:start w:val="1"/>
      <w:numFmt w:val="decimal"/>
      <w:lvlText w:val="%7."/>
      <w:lvlJc w:val="left"/>
      <w:pPr>
        <w:ind w:left="3414" w:hanging="420"/>
      </w:pPr>
    </w:lvl>
    <w:lvl w:ilvl="7" w:tentative="0">
      <w:start w:val="1"/>
      <w:numFmt w:val="lowerLetter"/>
      <w:lvlText w:val="%8)"/>
      <w:lvlJc w:val="left"/>
      <w:pPr>
        <w:ind w:left="3834" w:hanging="420"/>
      </w:pPr>
    </w:lvl>
    <w:lvl w:ilvl="8" w:tentative="0">
      <w:start w:val="1"/>
      <w:numFmt w:val="lowerRoman"/>
      <w:lvlText w:val="%9."/>
      <w:lvlJc w:val="right"/>
      <w:pPr>
        <w:ind w:left="4254" w:hanging="420"/>
      </w:pPr>
    </w:lvl>
  </w:abstractNum>
  <w:abstractNum w:abstractNumId="2">
    <w:nsid w:val="78A30028"/>
    <w:multiLevelType w:val="singleLevel"/>
    <w:tmpl w:val="78A30028"/>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32DF"/>
    <w:rsid w:val="0001446C"/>
    <w:rsid w:val="000364B4"/>
    <w:rsid w:val="00036CFE"/>
    <w:rsid w:val="0004407B"/>
    <w:rsid w:val="000664A0"/>
    <w:rsid w:val="000675A7"/>
    <w:rsid w:val="00071F3B"/>
    <w:rsid w:val="00080A7B"/>
    <w:rsid w:val="00092280"/>
    <w:rsid w:val="000B2012"/>
    <w:rsid w:val="000E51B6"/>
    <w:rsid w:val="000F2EE1"/>
    <w:rsid w:val="000F79FF"/>
    <w:rsid w:val="000F7A40"/>
    <w:rsid w:val="00100B43"/>
    <w:rsid w:val="001021CA"/>
    <w:rsid w:val="001169ED"/>
    <w:rsid w:val="00117C38"/>
    <w:rsid w:val="00125358"/>
    <w:rsid w:val="00141510"/>
    <w:rsid w:val="00183542"/>
    <w:rsid w:val="001C6933"/>
    <w:rsid w:val="001F3448"/>
    <w:rsid w:val="001F37B5"/>
    <w:rsid w:val="001F475B"/>
    <w:rsid w:val="001F4CDF"/>
    <w:rsid w:val="00204733"/>
    <w:rsid w:val="00213BD4"/>
    <w:rsid w:val="00222B81"/>
    <w:rsid w:val="00223199"/>
    <w:rsid w:val="0022629C"/>
    <w:rsid w:val="00237226"/>
    <w:rsid w:val="00265969"/>
    <w:rsid w:val="00271041"/>
    <w:rsid w:val="00273C14"/>
    <w:rsid w:val="00277F60"/>
    <w:rsid w:val="002873CC"/>
    <w:rsid w:val="00302C2E"/>
    <w:rsid w:val="00303112"/>
    <w:rsid w:val="003419D4"/>
    <w:rsid w:val="00362825"/>
    <w:rsid w:val="0036288A"/>
    <w:rsid w:val="00362A7F"/>
    <w:rsid w:val="00375E2C"/>
    <w:rsid w:val="003906BF"/>
    <w:rsid w:val="003F004C"/>
    <w:rsid w:val="00401D56"/>
    <w:rsid w:val="00405FFE"/>
    <w:rsid w:val="00445586"/>
    <w:rsid w:val="00455857"/>
    <w:rsid w:val="004637DA"/>
    <w:rsid w:val="00467DF3"/>
    <w:rsid w:val="00472167"/>
    <w:rsid w:val="004733D6"/>
    <w:rsid w:val="004763CB"/>
    <w:rsid w:val="004809E4"/>
    <w:rsid w:val="00482EB7"/>
    <w:rsid w:val="004871A5"/>
    <w:rsid w:val="00490AB0"/>
    <w:rsid w:val="004B49A5"/>
    <w:rsid w:val="005228F5"/>
    <w:rsid w:val="0056246B"/>
    <w:rsid w:val="00566FAE"/>
    <w:rsid w:val="005A7C93"/>
    <w:rsid w:val="00611073"/>
    <w:rsid w:val="0062676A"/>
    <w:rsid w:val="00632BD3"/>
    <w:rsid w:val="006372D0"/>
    <w:rsid w:val="0066741B"/>
    <w:rsid w:val="006B7009"/>
    <w:rsid w:val="006C32DF"/>
    <w:rsid w:val="00730BD3"/>
    <w:rsid w:val="00730F44"/>
    <w:rsid w:val="00740D89"/>
    <w:rsid w:val="00756873"/>
    <w:rsid w:val="00776233"/>
    <w:rsid w:val="00777B88"/>
    <w:rsid w:val="007A5DA9"/>
    <w:rsid w:val="007D254B"/>
    <w:rsid w:val="008221D5"/>
    <w:rsid w:val="00827E6E"/>
    <w:rsid w:val="00856158"/>
    <w:rsid w:val="008736D7"/>
    <w:rsid w:val="008A18E9"/>
    <w:rsid w:val="008A225F"/>
    <w:rsid w:val="008A55C0"/>
    <w:rsid w:val="008A6FA4"/>
    <w:rsid w:val="008B0BC5"/>
    <w:rsid w:val="008C4B5C"/>
    <w:rsid w:val="008E28C7"/>
    <w:rsid w:val="008E439D"/>
    <w:rsid w:val="008F3585"/>
    <w:rsid w:val="008F4BC2"/>
    <w:rsid w:val="008F6BCA"/>
    <w:rsid w:val="00904CA3"/>
    <w:rsid w:val="00912A95"/>
    <w:rsid w:val="00921937"/>
    <w:rsid w:val="00927ED7"/>
    <w:rsid w:val="009444B0"/>
    <w:rsid w:val="009541C3"/>
    <w:rsid w:val="00960792"/>
    <w:rsid w:val="00965B11"/>
    <w:rsid w:val="00981393"/>
    <w:rsid w:val="00985B37"/>
    <w:rsid w:val="009A1C7F"/>
    <w:rsid w:val="009A39CB"/>
    <w:rsid w:val="009C160C"/>
    <w:rsid w:val="009D564A"/>
    <w:rsid w:val="009D589D"/>
    <w:rsid w:val="00A2062E"/>
    <w:rsid w:val="00A2380E"/>
    <w:rsid w:val="00A34443"/>
    <w:rsid w:val="00A3547F"/>
    <w:rsid w:val="00A65333"/>
    <w:rsid w:val="00A7563B"/>
    <w:rsid w:val="00AC2067"/>
    <w:rsid w:val="00AF68D6"/>
    <w:rsid w:val="00B13B68"/>
    <w:rsid w:val="00B24DE2"/>
    <w:rsid w:val="00B259A9"/>
    <w:rsid w:val="00B26D7B"/>
    <w:rsid w:val="00B27449"/>
    <w:rsid w:val="00B367D7"/>
    <w:rsid w:val="00B45EC0"/>
    <w:rsid w:val="00B579E1"/>
    <w:rsid w:val="00B81A3C"/>
    <w:rsid w:val="00B870BE"/>
    <w:rsid w:val="00BA4401"/>
    <w:rsid w:val="00BA6CB4"/>
    <w:rsid w:val="00BC233E"/>
    <w:rsid w:val="00BC7A10"/>
    <w:rsid w:val="00BE25A5"/>
    <w:rsid w:val="00BF0440"/>
    <w:rsid w:val="00BF1B36"/>
    <w:rsid w:val="00BF5FA9"/>
    <w:rsid w:val="00C033B7"/>
    <w:rsid w:val="00C10C0B"/>
    <w:rsid w:val="00C12D75"/>
    <w:rsid w:val="00C41982"/>
    <w:rsid w:val="00C74C3D"/>
    <w:rsid w:val="00C91668"/>
    <w:rsid w:val="00CB00B7"/>
    <w:rsid w:val="00CF5450"/>
    <w:rsid w:val="00D50758"/>
    <w:rsid w:val="00D922D8"/>
    <w:rsid w:val="00DB6AB5"/>
    <w:rsid w:val="00DC41ED"/>
    <w:rsid w:val="00E11F51"/>
    <w:rsid w:val="00E206AB"/>
    <w:rsid w:val="00E21BB1"/>
    <w:rsid w:val="00E22716"/>
    <w:rsid w:val="00E34D93"/>
    <w:rsid w:val="00E52047"/>
    <w:rsid w:val="00EA209D"/>
    <w:rsid w:val="00EE5617"/>
    <w:rsid w:val="00EF0645"/>
    <w:rsid w:val="00EF19A6"/>
    <w:rsid w:val="00F46A92"/>
    <w:rsid w:val="00F51FCC"/>
    <w:rsid w:val="00F71204"/>
    <w:rsid w:val="00FC1566"/>
    <w:rsid w:val="00FD3153"/>
    <w:rsid w:val="00FE68CF"/>
    <w:rsid w:val="018351D1"/>
    <w:rsid w:val="035323BB"/>
    <w:rsid w:val="03C85D63"/>
    <w:rsid w:val="043B0BE2"/>
    <w:rsid w:val="05DD7C5A"/>
    <w:rsid w:val="05E373EE"/>
    <w:rsid w:val="09BC0020"/>
    <w:rsid w:val="0A6944D6"/>
    <w:rsid w:val="0A79086A"/>
    <w:rsid w:val="0E39317C"/>
    <w:rsid w:val="0F5F6D62"/>
    <w:rsid w:val="114069C3"/>
    <w:rsid w:val="131827F2"/>
    <w:rsid w:val="14435451"/>
    <w:rsid w:val="15604ACF"/>
    <w:rsid w:val="15C46D9F"/>
    <w:rsid w:val="15EF6C47"/>
    <w:rsid w:val="18A930A6"/>
    <w:rsid w:val="1B376D71"/>
    <w:rsid w:val="1BF06E2D"/>
    <w:rsid w:val="1C2C7C34"/>
    <w:rsid w:val="1EE44FF5"/>
    <w:rsid w:val="231478D3"/>
    <w:rsid w:val="233F6AAA"/>
    <w:rsid w:val="25BB1FB5"/>
    <w:rsid w:val="276B4DD7"/>
    <w:rsid w:val="28453B1B"/>
    <w:rsid w:val="2AF2726E"/>
    <w:rsid w:val="2CAB0415"/>
    <w:rsid w:val="2D354661"/>
    <w:rsid w:val="2F226D08"/>
    <w:rsid w:val="30C30BD4"/>
    <w:rsid w:val="3311663F"/>
    <w:rsid w:val="34E22779"/>
    <w:rsid w:val="375D2198"/>
    <w:rsid w:val="396F6CEC"/>
    <w:rsid w:val="3B5B3DBA"/>
    <w:rsid w:val="3C660468"/>
    <w:rsid w:val="3DB93A1A"/>
    <w:rsid w:val="40922895"/>
    <w:rsid w:val="417060F4"/>
    <w:rsid w:val="43AD3D23"/>
    <w:rsid w:val="44F008F2"/>
    <w:rsid w:val="45826C5B"/>
    <w:rsid w:val="475B6890"/>
    <w:rsid w:val="48DE7FF6"/>
    <w:rsid w:val="491F0552"/>
    <w:rsid w:val="49E36B0E"/>
    <w:rsid w:val="4A8F2E5D"/>
    <w:rsid w:val="4D4A4347"/>
    <w:rsid w:val="4D5D0580"/>
    <w:rsid w:val="4D967131"/>
    <w:rsid w:val="50C7755B"/>
    <w:rsid w:val="51615B3A"/>
    <w:rsid w:val="51632FA1"/>
    <w:rsid w:val="51781C85"/>
    <w:rsid w:val="52236123"/>
    <w:rsid w:val="54943180"/>
    <w:rsid w:val="55CF4E63"/>
    <w:rsid w:val="5B873E5F"/>
    <w:rsid w:val="5D037D57"/>
    <w:rsid w:val="5E276B56"/>
    <w:rsid w:val="5FC63498"/>
    <w:rsid w:val="603B2739"/>
    <w:rsid w:val="61234475"/>
    <w:rsid w:val="618F6432"/>
    <w:rsid w:val="61E76422"/>
    <w:rsid w:val="622A6B21"/>
    <w:rsid w:val="657F54EA"/>
    <w:rsid w:val="65F864E9"/>
    <w:rsid w:val="66614194"/>
    <w:rsid w:val="66706A36"/>
    <w:rsid w:val="67032B55"/>
    <w:rsid w:val="684D333F"/>
    <w:rsid w:val="6B2F5F5B"/>
    <w:rsid w:val="6C2E2C3C"/>
    <w:rsid w:val="714C6250"/>
    <w:rsid w:val="753E58C3"/>
    <w:rsid w:val="76583FD4"/>
    <w:rsid w:val="78204D15"/>
    <w:rsid w:val="79935299"/>
    <w:rsid w:val="7A8F5B44"/>
    <w:rsid w:val="7AAA0623"/>
    <w:rsid w:val="7ACB5EA9"/>
    <w:rsid w:val="7BE21683"/>
    <w:rsid w:val="7E7D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qFormat/>
    <w:uiPriority w:val="0"/>
    <w:rPr>
      <w:rFonts w:ascii="宋体"/>
      <w:sz w:val="18"/>
      <w:szCs w:val="18"/>
    </w:rPr>
  </w:style>
  <w:style w:type="paragraph" w:styleId="3">
    <w:name w:val="Date"/>
    <w:basedOn w:val="1"/>
    <w:next w:val="1"/>
    <w:link w:val="16"/>
    <w:semiHidden/>
    <w:unhideWhenUsed/>
    <w:qFormat/>
    <w:uiPriority w:val="99"/>
    <w:pPr>
      <w:ind w:left="100" w:leftChars="2500"/>
    </w:pPr>
  </w:style>
  <w:style w:type="paragraph" w:styleId="4">
    <w:name w:val="Body Text Indent 2"/>
    <w:basedOn w:val="1"/>
    <w:link w:val="24"/>
    <w:qFormat/>
    <w:uiPriority w:val="0"/>
    <w:pPr>
      <w:ind w:firstLine="640" w:firstLineChars="200"/>
    </w:pPr>
    <w:rPr>
      <w:rFonts w:ascii="楷体_GB2312" w:hAnsi="Courier New" w:eastAsia="楷体_GB2312"/>
      <w:sz w:val="32"/>
    </w:rPr>
  </w:style>
  <w:style w:type="paragraph" w:styleId="5">
    <w:name w:val="Balloon Text"/>
    <w:basedOn w:val="1"/>
    <w:link w:val="29"/>
    <w:semiHidden/>
    <w:qFormat/>
    <w:uiPriority w:val="0"/>
    <w:rPr>
      <w:rFonts w:ascii="Times New Roman" w:hAnsi="Times New Roman" w:eastAsia="宋体" w:cs="Times New Roman"/>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3"/>
    <w:qFormat/>
    <w:uiPriority w:val="11"/>
    <w:pPr>
      <w:spacing w:before="240" w:after="60" w:line="312" w:lineRule="auto"/>
      <w:jc w:val="center"/>
      <w:outlineLvl w:val="1"/>
    </w:pPr>
    <w:rPr>
      <w:rFonts w:ascii="Cambria" w:hAnsi="Cambria"/>
      <w:b/>
      <w:bCs/>
      <w:kern w:val="28"/>
      <w:sz w:val="32"/>
      <w:szCs w:val="32"/>
    </w:rPr>
  </w:style>
  <w:style w:type="paragraph" w:styleId="9">
    <w:name w:val="Title"/>
    <w:basedOn w:val="1"/>
    <w:next w:val="1"/>
    <w:link w:val="21"/>
    <w:qFormat/>
    <w:uiPriority w:val="0"/>
    <w:pPr>
      <w:spacing w:before="240" w:after="60"/>
      <w:jc w:val="center"/>
      <w:outlineLvl w:val="0"/>
    </w:pPr>
    <w:rPr>
      <w:rFonts w:ascii="Cambria" w:hAnsi="Cambria"/>
      <w:b/>
      <w:bCs/>
      <w:sz w:val="32"/>
      <w:szCs w:val="32"/>
    </w:r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rPr>
  </w:style>
  <w:style w:type="character" w:customStyle="1" w:styleId="14">
    <w:name w:val="页眉 Char"/>
    <w:basedOn w:val="11"/>
    <w:link w:val="7"/>
    <w:qFormat/>
    <w:uiPriority w:val="0"/>
    <w:rPr>
      <w:sz w:val="18"/>
      <w:szCs w:val="18"/>
    </w:rPr>
  </w:style>
  <w:style w:type="character" w:customStyle="1" w:styleId="15">
    <w:name w:val="页脚 Char"/>
    <w:basedOn w:val="11"/>
    <w:link w:val="6"/>
    <w:qFormat/>
    <w:uiPriority w:val="99"/>
    <w:rPr>
      <w:sz w:val="18"/>
      <w:szCs w:val="18"/>
    </w:rPr>
  </w:style>
  <w:style w:type="character" w:customStyle="1" w:styleId="16">
    <w:name w:val="日期 Char"/>
    <w:basedOn w:val="11"/>
    <w:link w:val="3"/>
    <w:semiHidden/>
    <w:qFormat/>
    <w:uiPriority w:val="99"/>
  </w:style>
  <w:style w:type="character" w:customStyle="1" w:styleId="17">
    <w:name w:val="样式 仿宋 三号 Char"/>
    <w:qFormat/>
    <w:uiPriority w:val="0"/>
    <w:rPr>
      <w:rFonts w:ascii="仿宋" w:hAnsi="仿宋" w:eastAsia="仿宋" w:cs="宋体"/>
      <w:kern w:val="2"/>
      <w:sz w:val="32"/>
      <w:lang w:val="en-US" w:eastAsia="zh-CN" w:bidi="ar-SA"/>
    </w:rPr>
  </w:style>
  <w:style w:type="character" w:customStyle="1" w:styleId="18">
    <w:name w:val="p0[858D7CFB-ED40-4347-BF05-701D383B685F]"/>
    <w:link w:val="19"/>
    <w:qFormat/>
    <w:uiPriority w:val="0"/>
    <w:rPr>
      <w:szCs w:val="21"/>
    </w:rPr>
  </w:style>
  <w:style w:type="paragraph" w:customStyle="1" w:styleId="19">
    <w:name w:val="p0"/>
    <w:basedOn w:val="1"/>
    <w:link w:val="18"/>
    <w:qFormat/>
    <w:uiPriority w:val="0"/>
    <w:pPr>
      <w:widowControl/>
    </w:pPr>
    <w:rPr>
      <w:szCs w:val="21"/>
    </w:rPr>
  </w:style>
  <w:style w:type="character" w:customStyle="1" w:styleId="20">
    <w:name w:val="页码1"/>
    <w:basedOn w:val="11"/>
    <w:qFormat/>
    <w:uiPriority w:val="0"/>
  </w:style>
  <w:style w:type="character" w:customStyle="1" w:styleId="21">
    <w:name w:val="标题 Char"/>
    <w:link w:val="9"/>
    <w:qFormat/>
    <w:uiPriority w:val="0"/>
    <w:rPr>
      <w:rFonts w:ascii="Cambria" w:hAnsi="Cambria"/>
      <w:b/>
      <w:bCs/>
      <w:sz w:val="32"/>
      <w:szCs w:val="32"/>
    </w:rPr>
  </w:style>
  <w:style w:type="character" w:customStyle="1" w:styleId="22">
    <w:name w:val="文档结构图 Char"/>
    <w:link w:val="2"/>
    <w:qFormat/>
    <w:uiPriority w:val="0"/>
    <w:rPr>
      <w:rFonts w:ascii="宋体"/>
      <w:sz w:val="18"/>
      <w:szCs w:val="18"/>
    </w:rPr>
  </w:style>
  <w:style w:type="character" w:customStyle="1" w:styleId="23">
    <w:name w:val="副标题 Char"/>
    <w:link w:val="8"/>
    <w:qFormat/>
    <w:uiPriority w:val="11"/>
    <w:rPr>
      <w:rFonts w:ascii="Cambria" w:hAnsi="Cambria"/>
      <w:b/>
      <w:bCs/>
      <w:kern w:val="28"/>
      <w:sz w:val="32"/>
      <w:szCs w:val="32"/>
    </w:rPr>
  </w:style>
  <w:style w:type="character" w:customStyle="1" w:styleId="24">
    <w:name w:val="正文文本缩进 2 Char"/>
    <w:link w:val="4"/>
    <w:qFormat/>
    <w:uiPriority w:val="0"/>
    <w:rPr>
      <w:rFonts w:ascii="楷体_GB2312" w:hAnsi="Courier New" w:eastAsia="楷体_GB2312"/>
      <w:sz w:val="32"/>
    </w:rPr>
  </w:style>
  <w:style w:type="character" w:customStyle="1" w:styleId="25">
    <w:name w:val="文档结构图 Char1"/>
    <w:basedOn w:val="11"/>
    <w:semiHidden/>
    <w:qFormat/>
    <w:uiPriority w:val="99"/>
    <w:rPr>
      <w:rFonts w:ascii="宋体" w:eastAsia="宋体"/>
      <w:sz w:val="18"/>
      <w:szCs w:val="18"/>
    </w:rPr>
  </w:style>
  <w:style w:type="character" w:customStyle="1" w:styleId="26">
    <w:name w:val="正文文本缩进 2 Char1"/>
    <w:basedOn w:val="11"/>
    <w:semiHidden/>
    <w:qFormat/>
    <w:uiPriority w:val="99"/>
  </w:style>
  <w:style w:type="character" w:customStyle="1" w:styleId="27">
    <w:name w:val="标题 Char1"/>
    <w:basedOn w:val="11"/>
    <w:qFormat/>
    <w:uiPriority w:val="10"/>
    <w:rPr>
      <w:rFonts w:eastAsia="宋体" w:asciiTheme="majorHAnsi" w:hAnsiTheme="majorHAnsi" w:cstheme="majorBidi"/>
      <w:b/>
      <w:bCs/>
      <w:sz w:val="32"/>
      <w:szCs w:val="32"/>
    </w:rPr>
  </w:style>
  <w:style w:type="character" w:customStyle="1" w:styleId="28">
    <w:name w:val="副标题 Char1"/>
    <w:basedOn w:val="11"/>
    <w:qFormat/>
    <w:uiPriority w:val="11"/>
    <w:rPr>
      <w:rFonts w:eastAsia="宋体" w:asciiTheme="majorHAnsi" w:hAnsiTheme="majorHAnsi" w:cstheme="majorBidi"/>
      <w:b/>
      <w:bCs/>
      <w:kern w:val="28"/>
      <w:sz w:val="32"/>
      <w:szCs w:val="32"/>
    </w:rPr>
  </w:style>
  <w:style w:type="character" w:customStyle="1" w:styleId="29">
    <w:name w:val="批注框文本 Char"/>
    <w:basedOn w:val="11"/>
    <w:link w:val="5"/>
    <w:semiHidden/>
    <w:qFormat/>
    <w:uiPriority w:val="0"/>
    <w:rPr>
      <w:rFonts w:ascii="Times New Roman" w:hAnsi="Times New Roman" w:eastAsia="宋体" w:cs="Times New Roman"/>
      <w:sz w:val="18"/>
      <w:szCs w:val="18"/>
    </w:rPr>
  </w:style>
  <w:style w:type="paragraph" w:customStyle="1" w:styleId="30">
    <w:name w:val="Char Char Char Char"/>
    <w:basedOn w:val="1"/>
    <w:qFormat/>
    <w:uiPriority w:val="0"/>
    <w:rPr>
      <w:rFonts w:ascii="Times New Roman" w:hAnsi="Times New Roman" w:eastAsia="宋体" w:cs="Times New Roman"/>
      <w:sz w:val="32"/>
      <w:szCs w:val="24"/>
    </w:rPr>
  </w:style>
  <w:style w:type="paragraph" w:customStyle="1" w:styleId="31">
    <w:name w:val="Char"/>
    <w:basedOn w:val="1"/>
    <w:qFormat/>
    <w:uiPriority w:val="0"/>
    <w:pPr>
      <w:widowControl/>
      <w:jc w:val="left"/>
    </w:pPr>
    <w:rPr>
      <w:rFonts w:ascii="Times New Roman" w:hAnsi="Times New Roman" w:eastAsia="宋体" w:cs="Times New Roman"/>
      <w:sz w:val="32"/>
      <w:szCs w:val="24"/>
    </w:rPr>
  </w:style>
  <w:style w:type="paragraph" w:customStyle="1" w:styleId="32">
    <w:name w:val="p17"/>
    <w:basedOn w:val="1"/>
    <w:qFormat/>
    <w:uiPriority w:val="0"/>
    <w:pPr>
      <w:widowControl/>
    </w:pPr>
    <w:rPr>
      <w:rFonts w:ascii="宋体" w:hAnsi="宋体" w:eastAsia="宋体" w:cs="宋体"/>
      <w:kern w:val="0"/>
      <w:sz w:val="32"/>
      <w:szCs w:val="21"/>
    </w:r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Sheet1!$B$2:$B$3</c:f>
              <c:numCache>
                <c:formatCode>General</c:formatCode>
                <c:ptCount val="2"/>
                <c:pt idx="0">
                  <c:v>218.32</c:v>
                </c:pt>
                <c:pt idx="1">
                  <c:v>173.52</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Sheet1!$C$2:$C$3</c:f>
              <c:numCache>
                <c:formatCode>General</c:formatCode>
                <c:ptCount val="2"/>
                <c:pt idx="0">
                  <c:v>218.32</c:v>
                </c:pt>
                <c:pt idx="1">
                  <c:v>173.52</c:v>
                </c:pt>
              </c:numCache>
            </c:numRef>
          </c:val>
        </c:ser>
        <c:dLbls>
          <c:showLegendKey val="0"/>
          <c:showVal val="0"/>
          <c:showCatName val="0"/>
          <c:showSerName val="0"/>
          <c:showPercent val="0"/>
          <c:showBubbleSize val="0"/>
        </c:dLbls>
        <c:gapWidth val="219"/>
        <c:overlap val="-27"/>
        <c:axId val="4270464"/>
        <c:axId val="4271248"/>
      </c:barChart>
      <c:catAx>
        <c:axId val="427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1248"/>
        <c:crosses val="autoZero"/>
        <c:auto val="1"/>
        <c:lblAlgn val="ctr"/>
        <c:lblOffset val="100"/>
        <c:noMultiLvlLbl val="0"/>
      </c:catAx>
      <c:valAx>
        <c:axId val="427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2019年收入（万元）</c:v>
                </c:pt>
              </c:strCache>
            </c:strRef>
          </c:tx>
          <c:spPr/>
          <c:explosion val="0"/>
          <c:dPt>
            <c:idx val="0"/>
            <c:bubble3D val="0"/>
            <c:spPr>
              <a:solidFill>
                <a:schemeClr val="accent1"/>
              </a:solidFill>
              <a:ln w="19050">
                <a:solidFill>
                  <a:schemeClr val="lt1"/>
                </a:solidFill>
              </a:ln>
              <a:effectLst/>
            </c:spPr>
          </c:dPt>
          <c:dLbls>
            <c:dLbl>
              <c:idx val="0"/>
              <c:layout>
                <c:manualLayout>
                  <c:x val="-6.68640451874039e-7"/>
                  <c:y val="-0.1180536268025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c:v>
                </c:pt>
              </c:strCache>
            </c:strRef>
          </c:cat>
          <c:val>
            <c:numRef>
              <c:f>Sheet1!$B$2</c:f>
              <c:numCache>
                <c:formatCode>General</c:formatCode>
                <c:ptCount val="1"/>
                <c:pt idx="0">
                  <c:v>218.32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年支出</a:t>
            </a:r>
            <a:r>
              <a:rPr lang="en-US" altLang="zh-CN"/>
              <a:t>(</a:t>
            </a:r>
            <a:r>
              <a:rPr lang="zh-CN" altLang="en-US"/>
              <a:t>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2019年支出</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218.32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年财政拨款（万元）</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Sheet1!$B$2:$B$3</c:f>
              <c:numCache>
                <c:formatCode>General</c:formatCode>
                <c:ptCount val="2"/>
                <c:pt idx="0">
                  <c:v>218.32</c:v>
                </c:pt>
                <c:pt idx="1">
                  <c:v>173.52</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Sheet1!$C$2:$C$3</c:f>
              <c:numCache>
                <c:formatCode>General</c:formatCode>
                <c:ptCount val="2"/>
                <c:pt idx="0">
                  <c:v>218.32</c:v>
                </c:pt>
                <c:pt idx="1">
                  <c:v>173.52</c:v>
                </c:pt>
              </c:numCache>
            </c:numRef>
          </c:val>
        </c:ser>
        <c:dLbls>
          <c:showLegendKey val="0"/>
          <c:showVal val="1"/>
          <c:showCatName val="0"/>
          <c:showSerName val="0"/>
          <c:showPercent val="0"/>
          <c:showBubbleSize val="0"/>
        </c:dLbls>
        <c:gapWidth val="219"/>
        <c:overlap val="-27"/>
        <c:axId val="4272816"/>
        <c:axId val="620493896"/>
      </c:barChart>
      <c:catAx>
        <c:axId val="427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493896"/>
        <c:crosses val="autoZero"/>
        <c:auto val="1"/>
        <c:lblAlgn val="ctr"/>
        <c:lblOffset val="100"/>
        <c:noMultiLvlLbl val="0"/>
      </c:catAx>
      <c:valAx>
        <c:axId val="620493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2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effectLst/>
              </a:rPr>
              <a:t>2019</a:t>
            </a:r>
            <a:r>
              <a:rPr lang="zh-CN" altLang="zh-CN" sz="1400" b="0" i="0" u="none" strike="noStrike" baseline="0">
                <a:effectLst/>
              </a:rPr>
              <a:t>年度一般公共预算财政拨款支出</a:t>
            </a:r>
            <a:r>
              <a:rPr lang="zh-CN" altLang="en-US" sz="1400" b="0" i="0" u="none" strike="noStrike" baseline="0">
                <a:effectLst/>
              </a:rPr>
              <a:t>（万元）</a:t>
            </a:r>
            <a:endParaRPr lang="zh-CN" altLang="en-US"/>
          </a:p>
        </c:rich>
      </c:tx>
      <c:layout>
        <c:manualLayout>
          <c:xMode val="edge"/>
          <c:yMode val="edge"/>
          <c:x val="0.223657407407407"/>
          <c:y val="0.023809523809523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文化旅游体育与传媒支出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Sheet1!$B$2:$B$3</c:f>
              <c:numCache>
                <c:formatCode>General</c:formatCode>
                <c:ptCount val="2"/>
                <c:pt idx="0">
                  <c:v>206.06</c:v>
                </c:pt>
                <c:pt idx="1">
                  <c:v>155.08</c:v>
                </c:pt>
              </c:numCache>
            </c:numRef>
          </c:val>
        </c:ser>
        <c:ser>
          <c:idx val="1"/>
          <c:order val="1"/>
          <c:tx>
            <c:strRef>
              <c:f>Sheet1!$C$1</c:f>
              <c:strCache>
                <c:ptCount val="1"/>
                <c:pt idx="0">
                  <c:v>社会保障和就业支出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Sheet1!$C$2:$C$3</c:f>
              <c:numCache>
                <c:formatCode>General</c:formatCode>
                <c:ptCount val="2"/>
                <c:pt idx="0">
                  <c:v>12.26</c:v>
                </c:pt>
                <c:pt idx="1">
                  <c:v>18.44</c:v>
                </c:pt>
              </c:numCache>
            </c:numRef>
          </c:val>
        </c:ser>
        <c:dLbls>
          <c:showLegendKey val="0"/>
          <c:showVal val="0"/>
          <c:showCatName val="0"/>
          <c:showSerName val="0"/>
          <c:showPercent val="0"/>
          <c:showBubbleSize val="0"/>
        </c:dLbls>
        <c:gapWidth val="219"/>
        <c:overlap val="-27"/>
        <c:axId val="620487856"/>
        <c:axId val="620488248"/>
      </c:barChart>
      <c:catAx>
        <c:axId val="62048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488248"/>
        <c:crosses val="autoZero"/>
        <c:auto val="1"/>
        <c:lblAlgn val="ctr"/>
        <c:lblOffset val="100"/>
        <c:noMultiLvlLbl val="0"/>
      </c:catAx>
      <c:valAx>
        <c:axId val="620488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487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100" b="0" i="0" baseline="0">
                <a:effectLst/>
              </a:rPr>
              <a:t>2019</a:t>
            </a:r>
            <a:r>
              <a:rPr lang="zh-CN" altLang="zh-CN" sz="1100" b="0" i="0" baseline="0">
                <a:effectLst/>
              </a:rPr>
              <a:t>年度一般公共预算财政拨款支出（万元）</a:t>
            </a:r>
            <a:endParaRPr lang="zh-CN" altLang="zh-CN" sz="1100">
              <a:effectLst/>
            </a:endParaRP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文化旅游体育与传媒（类）</c:v>
                </c:pt>
                <c:pt idx="1">
                  <c:v>社会保障和就业（类）</c:v>
                </c:pt>
              </c:strCache>
            </c:strRef>
          </c:cat>
          <c:val>
            <c:numRef>
              <c:f>Sheet1!$B$2:$B$3</c:f>
              <c:numCache>
                <c:formatCode>General</c:formatCode>
                <c:ptCount val="2"/>
                <c:pt idx="0">
                  <c:v>206.06</c:v>
                </c:pt>
                <c:pt idx="1">
                  <c:v>12.26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10C2B-22DC-4AED-B13F-6C6C42F507C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1528</Words>
  <Characters>8712</Characters>
  <Lines>72</Lines>
  <Paragraphs>20</Paragraphs>
  <TotalTime>22</TotalTime>
  <ScaleCrop>false</ScaleCrop>
  <LinksUpToDate>false</LinksUpToDate>
  <CharactersWithSpaces>10220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2020-09-22T08:20:00Z</dcterms:created>
  <dc:creator>Administrator</dc:creator>
  <cp:lastModifiedBy>Administrator</cp:lastModifiedBy>
  <dcterms:modified xsi:type="dcterms:W3CDTF">2021-05-18T09:14:58Z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2CC5880E82EF4CA2A7EE29B89DBA5215</vt:lpwstr>
  </property>
</Properties>
</file>